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EF" w:rsidRPr="00042AFF" w:rsidRDefault="00957DEF" w:rsidP="004E1080">
      <w:pPr>
        <w:spacing w:beforeLines="100" w:line="560" w:lineRule="exact"/>
        <w:jc w:val="center"/>
        <w:rPr>
          <w:rFonts w:ascii="微软雅黑" w:eastAsia="微软雅黑" w:hAnsi="微软雅黑"/>
          <w:b/>
          <w:sz w:val="44"/>
          <w:szCs w:val="44"/>
        </w:rPr>
      </w:pPr>
      <w:r w:rsidRPr="00042AFF">
        <w:rPr>
          <w:rFonts w:ascii="微软雅黑" w:eastAsia="微软雅黑" w:hAnsi="微软雅黑" w:hint="eastAsia"/>
          <w:b/>
          <w:sz w:val="44"/>
          <w:szCs w:val="44"/>
        </w:rPr>
        <w:t>第十届</w:t>
      </w:r>
      <w:r w:rsidR="00042AFF" w:rsidRPr="00042AFF">
        <w:rPr>
          <w:rFonts w:ascii="微软雅黑" w:eastAsia="微软雅黑" w:hAnsi="微软雅黑" w:hint="eastAsia"/>
          <w:b/>
          <w:sz w:val="44"/>
          <w:szCs w:val="44"/>
        </w:rPr>
        <w:t>“</w:t>
      </w:r>
      <w:r w:rsidRPr="00042AFF">
        <w:rPr>
          <w:rFonts w:ascii="微软雅黑" w:eastAsia="微软雅黑" w:hAnsi="微软雅黑" w:hint="eastAsia"/>
          <w:b/>
          <w:sz w:val="44"/>
          <w:szCs w:val="44"/>
        </w:rPr>
        <w:t>天眼</w:t>
      </w:r>
      <w:r w:rsidR="00042AFF" w:rsidRPr="00042AFF">
        <w:rPr>
          <w:rFonts w:ascii="微软雅黑" w:eastAsia="微软雅黑" w:hAnsi="微软雅黑" w:hint="eastAsia"/>
          <w:b/>
          <w:sz w:val="44"/>
          <w:szCs w:val="44"/>
        </w:rPr>
        <w:t>”</w:t>
      </w:r>
      <w:r w:rsidRPr="00042AFF">
        <w:rPr>
          <w:rFonts w:ascii="微软雅黑" w:eastAsia="微软雅黑" w:hAnsi="微软雅黑" w:hint="eastAsia"/>
          <w:b/>
          <w:sz w:val="44"/>
          <w:szCs w:val="44"/>
        </w:rPr>
        <w:t>中国最佳证券分析师</w:t>
      </w:r>
    </w:p>
    <w:p w:rsidR="00957DEF" w:rsidRPr="00042AFF" w:rsidRDefault="00957DEF" w:rsidP="00042AFF">
      <w:pPr>
        <w:spacing w:line="560" w:lineRule="exact"/>
        <w:jc w:val="center"/>
        <w:rPr>
          <w:rFonts w:ascii="微软雅黑" w:eastAsia="微软雅黑" w:hAnsi="微软雅黑"/>
          <w:b/>
          <w:sz w:val="44"/>
          <w:szCs w:val="44"/>
        </w:rPr>
      </w:pPr>
      <w:r w:rsidRPr="00042AFF">
        <w:rPr>
          <w:rFonts w:ascii="微软雅黑" w:eastAsia="微软雅黑" w:hAnsi="微软雅黑" w:hint="eastAsia"/>
          <w:b/>
          <w:sz w:val="44"/>
          <w:szCs w:val="44"/>
        </w:rPr>
        <w:t>评选说明书</w:t>
      </w:r>
    </w:p>
    <w:p w:rsidR="00957DEF" w:rsidRPr="00957DEF" w:rsidRDefault="00957DEF" w:rsidP="00957DEF">
      <w:pPr>
        <w:pStyle w:val="2"/>
        <w:numPr>
          <w:ilvl w:val="0"/>
          <w:numId w:val="3"/>
        </w:numPr>
        <w:rPr>
          <w:rFonts w:ascii="宋体" w:eastAsia="宋体" w:hAnsi="宋体"/>
          <w:sz w:val="28"/>
          <w:szCs w:val="28"/>
        </w:rPr>
      </w:pPr>
      <w:r w:rsidRPr="00FA4C99">
        <w:rPr>
          <w:rFonts w:ascii="宋体" w:eastAsia="宋体" w:hAnsi="宋体" w:hint="eastAsia"/>
          <w:sz w:val="28"/>
          <w:szCs w:val="28"/>
        </w:rPr>
        <w:t>奖项设立</w:t>
      </w:r>
    </w:p>
    <w:p w:rsidR="00957DEF" w:rsidRPr="00FA4C99" w:rsidRDefault="00957DEF" w:rsidP="00957DEF">
      <w:pPr>
        <w:ind w:firstLine="420"/>
        <w:rPr>
          <w:rFonts w:ascii="宋体" w:hAnsi="宋体"/>
          <w:szCs w:val="21"/>
        </w:rPr>
      </w:pPr>
      <w:r w:rsidRPr="00FA4C99">
        <w:rPr>
          <w:rFonts w:ascii="宋体" w:hAnsi="宋体" w:hint="eastAsia"/>
          <w:b/>
          <w:szCs w:val="21"/>
        </w:rPr>
        <w:t>今日投资中国最佳证券分析师评选</w:t>
      </w:r>
      <w:r w:rsidRPr="00FA4C99">
        <w:rPr>
          <w:rFonts w:ascii="宋体" w:hAnsi="宋体" w:hint="eastAsia"/>
          <w:szCs w:val="21"/>
        </w:rPr>
        <w:t>共设立7个独立奖项：“行业最佳选</w:t>
      </w:r>
      <w:proofErr w:type="gramStart"/>
      <w:r w:rsidRPr="00FA4C99">
        <w:rPr>
          <w:rFonts w:ascii="宋体" w:hAnsi="宋体" w:hint="eastAsia"/>
          <w:szCs w:val="21"/>
        </w:rPr>
        <w:t>股分</w:t>
      </w:r>
      <w:proofErr w:type="gramEnd"/>
      <w:r w:rsidRPr="00FA4C99">
        <w:rPr>
          <w:rFonts w:ascii="宋体" w:hAnsi="宋体" w:hint="eastAsia"/>
          <w:szCs w:val="21"/>
        </w:rPr>
        <w:t>析师”、“行业盈利预测最准确分析师”、“年度明星分析师”、“最佳独立见解分析师”、“</w:t>
      </w:r>
      <w:r w:rsidRPr="00FA4C99">
        <w:rPr>
          <w:rFonts w:ascii="宋体" w:hAnsi="宋体" w:hint="eastAsia"/>
        </w:rPr>
        <w:t>连续三年、五年的五星级分析师”、</w:t>
      </w:r>
      <w:r w:rsidRPr="00FA4C99">
        <w:rPr>
          <w:rFonts w:ascii="宋体" w:hAnsi="宋体" w:hint="eastAsia"/>
          <w:szCs w:val="21"/>
        </w:rPr>
        <w:t>“最佳策略分析师”、“券商研究力量排行”。</w:t>
      </w:r>
    </w:p>
    <w:p w:rsidR="00957DEF" w:rsidRPr="00FA4C99" w:rsidRDefault="00957DEF" w:rsidP="004E1080">
      <w:pPr>
        <w:spacing w:beforeLines="100"/>
        <w:ind w:firstLine="420"/>
        <w:rPr>
          <w:rFonts w:ascii="宋体" w:hAnsi="宋体"/>
          <w:szCs w:val="21"/>
        </w:rPr>
      </w:pPr>
      <w:r w:rsidRPr="00FA4C99">
        <w:rPr>
          <w:rFonts w:ascii="宋体" w:hAnsi="宋体" w:hint="eastAsia"/>
          <w:szCs w:val="21"/>
        </w:rPr>
        <w:t>具体各奖项获奖分析师人数如下：</w:t>
      </w:r>
    </w:p>
    <w:p w:rsidR="00957DEF" w:rsidRPr="00FA4C99" w:rsidRDefault="00957DEF" w:rsidP="00042AFF">
      <w:pPr>
        <w:ind w:left="420" w:firstLine="420"/>
        <w:rPr>
          <w:rFonts w:ascii="宋体" w:hAnsi="宋体"/>
          <w:szCs w:val="21"/>
        </w:rPr>
      </w:pPr>
      <w:r w:rsidRPr="00FA4C99">
        <w:rPr>
          <w:rFonts w:ascii="宋体" w:hAnsi="宋体" w:hint="eastAsia"/>
          <w:szCs w:val="21"/>
        </w:rPr>
        <w:t>（</w:t>
      </w:r>
      <w:r w:rsidRPr="00FA4C99">
        <w:rPr>
          <w:rFonts w:ascii="宋体" w:hAnsi="宋体"/>
          <w:szCs w:val="21"/>
        </w:rPr>
        <w:t>1</w:t>
      </w:r>
      <w:r w:rsidRPr="00FA4C99">
        <w:rPr>
          <w:rFonts w:ascii="宋体" w:hAnsi="宋体" w:hint="eastAsia"/>
          <w:szCs w:val="21"/>
        </w:rPr>
        <w:t>）“年度明星分析师”：</w:t>
      </w:r>
      <w:r w:rsidRPr="00FA4C99">
        <w:rPr>
          <w:rFonts w:ascii="宋体" w:hAnsi="宋体"/>
          <w:szCs w:val="21"/>
        </w:rPr>
        <w:t>10</w:t>
      </w:r>
      <w:r w:rsidRPr="00FA4C99">
        <w:rPr>
          <w:rFonts w:ascii="宋体" w:hAnsi="宋体" w:hint="eastAsia"/>
          <w:szCs w:val="21"/>
        </w:rPr>
        <w:t>名；</w:t>
      </w:r>
    </w:p>
    <w:p w:rsidR="00957DEF" w:rsidRPr="00FA4C99" w:rsidRDefault="00957DEF" w:rsidP="00042AFF">
      <w:pPr>
        <w:ind w:left="420" w:firstLine="420"/>
        <w:rPr>
          <w:rFonts w:ascii="宋体" w:hAnsi="宋体"/>
          <w:szCs w:val="21"/>
        </w:rPr>
      </w:pPr>
      <w:r w:rsidRPr="00FA4C99">
        <w:rPr>
          <w:rFonts w:ascii="宋体" w:hAnsi="宋体" w:hint="eastAsia"/>
          <w:szCs w:val="21"/>
        </w:rPr>
        <w:t>（</w:t>
      </w:r>
      <w:r w:rsidRPr="00FA4C99">
        <w:rPr>
          <w:rFonts w:ascii="宋体" w:hAnsi="宋体"/>
          <w:szCs w:val="21"/>
        </w:rPr>
        <w:t>2</w:t>
      </w:r>
      <w:r w:rsidRPr="00FA4C99">
        <w:rPr>
          <w:rFonts w:ascii="宋体" w:hAnsi="宋体" w:hint="eastAsia"/>
          <w:szCs w:val="21"/>
        </w:rPr>
        <w:t>）“最佳独立见解分析师”：</w:t>
      </w:r>
      <w:r w:rsidRPr="00FA4C99">
        <w:rPr>
          <w:rFonts w:ascii="宋体" w:hAnsi="宋体"/>
          <w:szCs w:val="21"/>
        </w:rPr>
        <w:t>10</w:t>
      </w:r>
      <w:r w:rsidRPr="00FA4C99">
        <w:rPr>
          <w:rFonts w:ascii="宋体" w:hAnsi="宋体" w:hint="eastAsia"/>
          <w:szCs w:val="21"/>
        </w:rPr>
        <w:t>名；</w:t>
      </w:r>
    </w:p>
    <w:p w:rsidR="00957DEF" w:rsidRPr="00FA4C99" w:rsidRDefault="00957DEF" w:rsidP="00042AFF">
      <w:pPr>
        <w:ind w:left="420" w:firstLine="420"/>
        <w:rPr>
          <w:rFonts w:ascii="宋体" w:hAnsi="宋体"/>
          <w:szCs w:val="21"/>
        </w:rPr>
      </w:pPr>
      <w:r w:rsidRPr="00FA4C99">
        <w:rPr>
          <w:rFonts w:ascii="宋体" w:hAnsi="宋体" w:hint="eastAsia"/>
          <w:szCs w:val="21"/>
        </w:rPr>
        <w:t>（</w:t>
      </w:r>
      <w:r w:rsidRPr="00FA4C99">
        <w:rPr>
          <w:rFonts w:ascii="宋体" w:hAnsi="宋体"/>
          <w:szCs w:val="21"/>
        </w:rPr>
        <w:t>3</w:t>
      </w:r>
      <w:r w:rsidRPr="00FA4C99">
        <w:rPr>
          <w:rFonts w:ascii="宋体" w:hAnsi="宋体" w:hint="eastAsia"/>
          <w:szCs w:val="21"/>
        </w:rPr>
        <w:t>）“行业最佳选</w:t>
      </w:r>
      <w:proofErr w:type="gramStart"/>
      <w:r w:rsidRPr="00FA4C99">
        <w:rPr>
          <w:rFonts w:ascii="宋体" w:hAnsi="宋体" w:hint="eastAsia"/>
          <w:szCs w:val="21"/>
        </w:rPr>
        <w:t>股分</w:t>
      </w:r>
      <w:proofErr w:type="gramEnd"/>
      <w:r w:rsidRPr="00FA4C99">
        <w:rPr>
          <w:rFonts w:ascii="宋体" w:hAnsi="宋体" w:hint="eastAsia"/>
          <w:szCs w:val="21"/>
        </w:rPr>
        <w:t>析师”：各行业</w:t>
      </w:r>
      <w:r w:rsidRPr="00FA4C99">
        <w:rPr>
          <w:rFonts w:ascii="宋体" w:hAnsi="宋体"/>
          <w:szCs w:val="21"/>
        </w:rPr>
        <w:t>3</w:t>
      </w:r>
      <w:r w:rsidRPr="00FA4C99">
        <w:rPr>
          <w:rFonts w:ascii="宋体" w:hAnsi="宋体" w:hint="eastAsia"/>
          <w:szCs w:val="21"/>
        </w:rPr>
        <w:t>名，2</w:t>
      </w:r>
      <w:r>
        <w:rPr>
          <w:rFonts w:ascii="宋体" w:hAnsi="宋体" w:hint="eastAsia"/>
          <w:szCs w:val="21"/>
        </w:rPr>
        <w:t>7</w:t>
      </w:r>
      <w:r w:rsidRPr="00FA4C99">
        <w:rPr>
          <w:rFonts w:ascii="宋体" w:hAnsi="宋体" w:hint="eastAsia"/>
          <w:szCs w:val="21"/>
        </w:rPr>
        <w:t>个行业共</w:t>
      </w:r>
      <w:r w:rsidR="00D46776">
        <w:rPr>
          <w:rFonts w:ascii="宋体" w:hAnsi="宋体" w:hint="eastAsia"/>
          <w:szCs w:val="21"/>
        </w:rPr>
        <w:t>81</w:t>
      </w:r>
      <w:r w:rsidRPr="00FA4C99">
        <w:rPr>
          <w:rFonts w:ascii="宋体" w:hAnsi="宋体" w:hint="eastAsia"/>
          <w:szCs w:val="21"/>
        </w:rPr>
        <w:t>名；</w:t>
      </w:r>
    </w:p>
    <w:p w:rsidR="00957DEF" w:rsidRPr="00FA4C99" w:rsidRDefault="00957DEF" w:rsidP="00042AFF">
      <w:pPr>
        <w:ind w:left="420" w:firstLine="420"/>
        <w:rPr>
          <w:rFonts w:ascii="宋体" w:hAnsi="宋体"/>
          <w:szCs w:val="21"/>
        </w:rPr>
      </w:pPr>
      <w:r w:rsidRPr="00FA4C99">
        <w:rPr>
          <w:rFonts w:ascii="宋体" w:hAnsi="宋体" w:hint="eastAsia"/>
          <w:szCs w:val="21"/>
        </w:rPr>
        <w:t>（</w:t>
      </w:r>
      <w:r w:rsidRPr="00FA4C99">
        <w:rPr>
          <w:rFonts w:ascii="宋体" w:hAnsi="宋体"/>
          <w:szCs w:val="21"/>
        </w:rPr>
        <w:t>4</w:t>
      </w:r>
      <w:r w:rsidR="004E1080">
        <w:rPr>
          <w:rFonts w:ascii="宋体" w:hAnsi="宋体" w:hint="eastAsia"/>
          <w:szCs w:val="21"/>
        </w:rPr>
        <w:t>）“行业盈利预测最准</w:t>
      </w:r>
      <w:r w:rsidRPr="00FA4C99">
        <w:rPr>
          <w:rFonts w:ascii="宋体" w:hAnsi="宋体" w:hint="eastAsia"/>
          <w:szCs w:val="21"/>
        </w:rPr>
        <w:t>分析师”：各行业</w:t>
      </w:r>
      <w:r w:rsidRPr="00FA4C99">
        <w:rPr>
          <w:rFonts w:ascii="宋体" w:hAnsi="宋体"/>
          <w:szCs w:val="21"/>
        </w:rPr>
        <w:t>3</w:t>
      </w:r>
      <w:r w:rsidRPr="00FA4C99">
        <w:rPr>
          <w:rFonts w:ascii="宋体" w:hAnsi="宋体" w:hint="eastAsia"/>
          <w:szCs w:val="21"/>
        </w:rPr>
        <w:t>名，2</w:t>
      </w:r>
      <w:r>
        <w:rPr>
          <w:rFonts w:ascii="宋体" w:hAnsi="宋体" w:hint="eastAsia"/>
          <w:szCs w:val="21"/>
        </w:rPr>
        <w:t>7</w:t>
      </w:r>
      <w:r w:rsidRPr="00FA4C99">
        <w:rPr>
          <w:rFonts w:ascii="宋体" w:hAnsi="宋体" w:hint="eastAsia"/>
          <w:szCs w:val="21"/>
        </w:rPr>
        <w:t>个行业共</w:t>
      </w:r>
      <w:r w:rsidR="00D46776">
        <w:rPr>
          <w:rFonts w:ascii="宋体" w:hAnsi="宋体" w:hint="eastAsia"/>
          <w:szCs w:val="21"/>
        </w:rPr>
        <w:t>81</w:t>
      </w:r>
      <w:r w:rsidRPr="00FA4C99">
        <w:rPr>
          <w:rFonts w:ascii="宋体" w:hAnsi="宋体" w:hint="eastAsia"/>
          <w:szCs w:val="21"/>
        </w:rPr>
        <w:t>名；</w:t>
      </w:r>
    </w:p>
    <w:p w:rsidR="00957DEF" w:rsidRPr="00FA4C99" w:rsidRDefault="00957DEF" w:rsidP="00042AFF">
      <w:pPr>
        <w:ind w:left="420" w:firstLine="420"/>
        <w:rPr>
          <w:rFonts w:ascii="宋体" w:hAnsi="宋体"/>
        </w:rPr>
      </w:pPr>
      <w:r w:rsidRPr="00FA4C99">
        <w:rPr>
          <w:rFonts w:ascii="宋体" w:hAnsi="宋体" w:hint="eastAsia"/>
          <w:szCs w:val="21"/>
        </w:rPr>
        <w:t>（5）“</w:t>
      </w:r>
      <w:r w:rsidRPr="00FA4C99">
        <w:rPr>
          <w:rFonts w:ascii="宋体" w:hAnsi="宋体" w:hint="eastAsia"/>
        </w:rPr>
        <w:t>连续三年、五年的五星级分析师”：不限人数，无符合条件分析师则空缺；</w:t>
      </w:r>
    </w:p>
    <w:p w:rsidR="00957DEF" w:rsidRPr="00FA4C99" w:rsidRDefault="00957DEF" w:rsidP="00042AFF">
      <w:pPr>
        <w:ind w:left="420" w:firstLine="420"/>
        <w:rPr>
          <w:rFonts w:ascii="宋体" w:hAnsi="宋体"/>
          <w:szCs w:val="21"/>
        </w:rPr>
      </w:pPr>
      <w:r w:rsidRPr="00FA4C99">
        <w:rPr>
          <w:rFonts w:ascii="宋体" w:hAnsi="宋体" w:hint="eastAsia"/>
        </w:rPr>
        <w:t>（6）</w:t>
      </w:r>
      <w:r w:rsidRPr="00FA4C99">
        <w:rPr>
          <w:rFonts w:ascii="宋体" w:hAnsi="宋体" w:hint="eastAsia"/>
          <w:szCs w:val="21"/>
        </w:rPr>
        <w:t>“最佳策略分析师”：</w:t>
      </w:r>
      <w:r w:rsidR="00B94C06">
        <w:rPr>
          <w:rFonts w:ascii="宋体" w:hAnsi="宋体" w:hint="eastAsia"/>
          <w:szCs w:val="21"/>
        </w:rPr>
        <w:t>3</w:t>
      </w:r>
      <w:r w:rsidRPr="00FA4C99">
        <w:rPr>
          <w:rFonts w:ascii="宋体" w:hAnsi="宋体" w:hint="eastAsia"/>
          <w:szCs w:val="21"/>
        </w:rPr>
        <w:t>名；</w:t>
      </w:r>
    </w:p>
    <w:p w:rsidR="00957DEF" w:rsidRDefault="00957DEF" w:rsidP="00042AFF">
      <w:pPr>
        <w:ind w:left="420" w:firstLine="420"/>
        <w:rPr>
          <w:rFonts w:ascii="宋体" w:hAnsi="宋体"/>
          <w:szCs w:val="21"/>
        </w:rPr>
      </w:pPr>
      <w:r w:rsidRPr="00FA4C99">
        <w:rPr>
          <w:rFonts w:ascii="宋体" w:hAnsi="宋体" w:hint="eastAsia"/>
          <w:szCs w:val="21"/>
        </w:rPr>
        <w:t>（7）“券商研究力量排行”：10家；</w:t>
      </w:r>
    </w:p>
    <w:p w:rsidR="00957DEF" w:rsidRPr="00FA4C99" w:rsidRDefault="00957DEF" w:rsidP="00957DEF">
      <w:pPr>
        <w:pStyle w:val="2"/>
        <w:rPr>
          <w:rFonts w:ascii="宋体" w:eastAsia="宋体" w:hAnsi="宋体"/>
          <w:sz w:val="28"/>
          <w:szCs w:val="28"/>
        </w:rPr>
      </w:pPr>
      <w:r w:rsidRPr="00FA4C99">
        <w:rPr>
          <w:rFonts w:ascii="宋体" w:eastAsia="宋体" w:hAnsi="宋体"/>
          <w:sz w:val="28"/>
          <w:szCs w:val="28"/>
        </w:rPr>
        <w:t>2</w:t>
      </w:r>
      <w:r w:rsidRPr="00FA4C99">
        <w:rPr>
          <w:rFonts w:ascii="宋体" w:eastAsia="宋体" w:hAnsi="宋体" w:hint="eastAsia"/>
          <w:sz w:val="28"/>
          <w:szCs w:val="28"/>
        </w:rPr>
        <w:t>．评比原则</w:t>
      </w:r>
    </w:p>
    <w:p w:rsidR="00957DEF" w:rsidRPr="00FA4C99" w:rsidRDefault="00957DEF" w:rsidP="00957DEF">
      <w:pPr>
        <w:numPr>
          <w:ilvl w:val="0"/>
          <w:numId w:val="1"/>
        </w:numPr>
        <w:rPr>
          <w:rFonts w:ascii="宋体" w:hAnsi="宋体"/>
          <w:szCs w:val="21"/>
        </w:rPr>
      </w:pPr>
      <w:r w:rsidRPr="00FA4C99">
        <w:rPr>
          <w:rFonts w:ascii="宋体" w:hAnsi="宋体" w:hint="eastAsia"/>
          <w:szCs w:val="21"/>
        </w:rPr>
        <w:t>采取“客观”的评选办法；</w:t>
      </w:r>
    </w:p>
    <w:p w:rsidR="00957DEF" w:rsidRPr="00FA4C99" w:rsidRDefault="00957DEF" w:rsidP="00957DEF">
      <w:pPr>
        <w:numPr>
          <w:ilvl w:val="0"/>
          <w:numId w:val="1"/>
        </w:numPr>
        <w:rPr>
          <w:rFonts w:ascii="宋体" w:hAnsi="宋体"/>
          <w:szCs w:val="21"/>
        </w:rPr>
      </w:pPr>
      <w:r w:rsidRPr="00FA4C99">
        <w:rPr>
          <w:rFonts w:ascii="宋体" w:hAnsi="宋体" w:hint="eastAsia"/>
          <w:szCs w:val="21"/>
        </w:rPr>
        <w:t>依据实时、可追踪的投资评级和盈利预测数据；</w:t>
      </w:r>
    </w:p>
    <w:p w:rsidR="00957DEF" w:rsidRPr="00FA4C99" w:rsidRDefault="00957DEF" w:rsidP="00957DEF">
      <w:pPr>
        <w:numPr>
          <w:ilvl w:val="0"/>
          <w:numId w:val="1"/>
        </w:numPr>
        <w:rPr>
          <w:rFonts w:ascii="宋体" w:hAnsi="宋体"/>
          <w:szCs w:val="21"/>
        </w:rPr>
      </w:pPr>
      <w:r w:rsidRPr="00FA4C99">
        <w:rPr>
          <w:rFonts w:ascii="宋体" w:hAnsi="宋体" w:hint="eastAsia"/>
          <w:szCs w:val="21"/>
        </w:rPr>
        <w:t>评选对象有创新意识和独立见解；</w:t>
      </w:r>
    </w:p>
    <w:p w:rsidR="00957DEF" w:rsidRPr="00FA4C99" w:rsidRDefault="00957DEF" w:rsidP="00957DEF">
      <w:pPr>
        <w:numPr>
          <w:ilvl w:val="0"/>
          <w:numId w:val="1"/>
        </w:numPr>
        <w:rPr>
          <w:rFonts w:ascii="宋体" w:hAnsi="宋体"/>
          <w:szCs w:val="21"/>
        </w:rPr>
      </w:pPr>
      <w:r w:rsidRPr="00FA4C99">
        <w:rPr>
          <w:rFonts w:ascii="宋体" w:hAnsi="宋体" w:hint="eastAsia"/>
          <w:szCs w:val="21"/>
        </w:rPr>
        <w:t>有一定市场影响力和认同度；</w:t>
      </w:r>
    </w:p>
    <w:p w:rsidR="00957DEF" w:rsidRPr="00957DEF" w:rsidRDefault="00957DEF" w:rsidP="00957DEF">
      <w:pPr>
        <w:numPr>
          <w:ilvl w:val="0"/>
          <w:numId w:val="1"/>
        </w:numPr>
        <w:rPr>
          <w:rFonts w:ascii="宋体" w:hAnsi="宋体"/>
          <w:szCs w:val="21"/>
        </w:rPr>
      </w:pPr>
      <w:r w:rsidRPr="00FA4C99">
        <w:rPr>
          <w:rFonts w:ascii="宋体" w:hAnsi="宋体" w:hint="eastAsia"/>
          <w:szCs w:val="21"/>
        </w:rPr>
        <w:t>为投资者创造价值。</w:t>
      </w:r>
    </w:p>
    <w:p w:rsidR="00957DEF" w:rsidRPr="00FA4C99" w:rsidRDefault="00957DEF" w:rsidP="00957DEF">
      <w:pPr>
        <w:pStyle w:val="2"/>
        <w:rPr>
          <w:rFonts w:ascii="宋体" w:eastAsia="宋体" w:hAnsi="宋体"/>
          <w:sz w:val="28"/>
          <w:szCs w:val="28"/>
        </w:rPr>
      </w:pPr>
      <w:r w:rsidRPr="00FA4C99">
        <w:rPr>
          <w:rFonts w:ascii="宋体" w:eastAsia="宋体" w:hAnsi="宋体"/>
          <w:sz w:val="28"/>
          <w:szCs w:val="28"/>
        </w:rPr>
        <w:t>3</w:t>
      </w:r>
      <w:r w:rsidRPr="00FA4C99">
        <w:rPr>
          <w:rFonts w:ascii="宋体" w:eastAsia="宋体" w:hAnsi="宋体" w:hint="eastAsia"/>
          <w:sz w:val="28"/>
          <w:szCs w:val="28"/>
        </w:rPr>
        <w:t>．评比依据</w:t>
      </w:r>
    </w:p>
    <w:p w:rsidR="00042AFF" w:rsidRDefault="00957DEF" w:rsidP="00957DEF">
      <w:pPr>
        <w:widowControl/>
        <w:ind w:leftChars="241" w:left="506"/>
        <w:jc w:val="left"/>
        <w:rPr>
          <w:rFonts w:ascii="宋体" w:hAnsi="宋体"/>
        </w:rPr>
      </w:pPr>
      <w:r w:rsidRPr="00FA4C99">
        <w:rPr>
          <w:rFonts w:ascii="宋体" w:hAnsi="宋体" w:hint="eastAsia"/>
        </w:rPr>
        <w:t>今日投资中国</w:t>
      </w:r>
      <w:proofErr w:type="gramStart"/>
      <w:r w:rsidRPr="00FA4C99">
        <w:rPr>
          <w:rFonts w:ascii="宋体" w:hAnsi="宋体" w:hint="eastAsia"/>
        </w:rPr>
        <w:t>最佳分析</w:t>
      </w:r>
      <w:proofErr w:type="gramEnd"/>
      <w:r w:rsidRPr="00FA4C99">
        <w:rPr>
          <w:rFonts w:ascii="宋体" w:hAnsi="宋体" w:hint="eastAsia"/>
        </w:rPr>
        <w:t>师评比的依据为分析</w:t>
      </w:r>
      <w:proofErr w:type="gramStart"/>
      <w:r w:rsidRPr="00FA4C99">
        <w:rPr>
          <w:rFonts w:ascii="宋体" w:hAnsi="宋体" w:hint="eastAsia"/>
        </w:rPr>
        <w:t>师投资</w:t>
      </w:r>
      <w:proofErr w:type="gramEnd"/>
      <w:r w:rsidRPr="00FA4C99">
        <w:rPr>
          <w:rFonts w:ascii="宋体" w:hAnsi="宋体" w:hint="eastAsia"/>
        </w:rPr>
        <w:t>评级建议的超额回报率和盈利预测</w:t>
      </w:r>
    </w:p>
    <w:p w:rsidR="00957DEF" w:rsidRPr="00FA4C99" w:rsidRDefault="00957DEF" w:rsidP="00042AFF">
      <w:pPr>
        <w:widowControl/>
        <w:jc w:val="left"/>
        <w:rPr>
          <w:rFonts w:ascii="宋体" w:hAnsi="宋体"/>
        </w:rPr>
      </w:pPr>
      <w:r w:rsidRPr="00FA4C99">
        <w:rPr>
          <w:rFonts w:ascii="宋体" w:hAnsi="宋体" w:hint="eastAsia"/>
        </w:rPr>
        <w:t>的准确性。</w:t>
      </w:r>
      <w:r w:rsidRPr="00FA4C99">
        <w:rPr>
          <w:rFonts w:ascii="宋体" w:hAnsi="宋体"/>
        </w:rPr>
        <w:t>T</w:t>
      </w:r>
      <w:r w:rsidRPr="00FA4C99">
        <w:rPr>
          <w:rFonts w:ascii="宋体" w:hAnsi="宋体" w:hint="eastAsia"/>
        </w:rPr>
        <w:t>年度发布的榜单主要基于</w:t>
      </w:r>
      <w:r w:rsidRPr="00FA4C99">
        <w:rPr>
          <w:rFonts w:ascii="宋体" w:hAnsi="宋体"/>
        </w:rPr>
        <w:t>T-1</w:t>
      </w:r>
      <w:r w:rsidRPr="00FA4C99">
        <w:rPr>
          <w:rFonts w:ascii="宋体" w:hAnsi="宋体" w:hint="eastAsia"/>
        </w:rPr>
        <w:t>的分析师数据。</w:t>
      </w:r>
    </w:p>
    <w:p w:rsidR="00957DEF" w:rsidRPr="00FA4C99" w:rsidRDefault="00957DEF" w:rsidP="00957DEF">
      <w:pPr>
        <w:pStyle w:val="2"/>
        <w:rPr>
          <w:rFonts w:ascii="宋体" w:eastAsia="宋体" w:hAnsi="宋体"/>
          <w:sz w:val="28"/>
          <w:szCs w:val="28"/>
        </w:rPr>
      </w:pPr>
      <w:r w:rsidRPr="00FA4C99">
        <w:rPr>
          <w:rFonts w:ascii="宋体" w:eastAsia="宋体" w:hAnsi="宋体"/>
          <w:sz w:val="28"/>
          <w:szCs w:val="28"/>
        </w:rPr>
        <w:t>4</w:t>
      </w:r>
      <w:r w:rsidRPr="00FA4C99">
        <w:rPr>
          <w:rFonts w:ascii="宋体" w:eastAsia="宋体" w:hAnsi="宋体" w:hint="eastAsia"/>
          <w:sz w:val="28"/>
          <w:szCs w:val="28"/>
        </w:rPr>
        <w:t>．数据来源</w:t>
      </w:r>
    </w:p>
    <w:p w:rsidR="00957DEF" w:rsidRPr="00957DEF" w:rsidRDefault="00957DEF" w:rsidP="00957DEF">
      <w:pPr>
        <w:widowControl/>
        <w:ind w:firstLine="420"/>
        <w:jc w:val="left"/>
        <w:rPr>
          <w:rFonts w:ascii="宋体" w:hAnsi="宋体" w:cs="宋体"/>
          <w:color w:val="000000"/>
          <w:kern w:val="0"/>
          <w:sz w:val="22"/>
          <w:szCs w:val="22"/>
        </w:rPr>
      </w:pPr>
      <w:r w:rsidRPr="00FA4C99">
        <w:rPr>
          <w:rFonts w:ascii="宋体" w:hAnsi="宋体" w:hint="eastAsia"/>
        </w:rPr>
        <w:t>今日投资中国</w:t>
      </w:r>
      <w:proofErr w:type="gramStart"/>
      <w:r w:rsidRPr="00FA4C99">
        <w:rPr>
          <w:rFonts w:ascii="宋体" w:hAnsi="宋体" w:hint="eastAsia"/>
        </w:rPr>
        <w:t>最佳分析</w:t>
      </w:r>
      <w:proofErr w:type="gramEnd"/>
      <w:r w:rsidRPr="00FA4C99">
        <w:rPr>
          <w:rFonts w:ascii="宋体" w:hAnsi="宋体" w:hint="eastAsia"/>
        </w:rPr>
        <w:t>师评比的数据来源为今日投资分析师数据库。行业分类</w:t>
      </w:r>
      <w:proofErr w:type="gramStart"/>
      <w:r w:rsidRPr="00FA4C99">
        <w:rPr>
          <w:rFonts w:ascii="宋体" w:hAnsi="宋体" w:hint="eastAsia"/>
        </w:rPr>
        <w:t>按申万一级行业</w:t>
      </w:r>
      <w:proofErr w:type="gramEnd"/>
      <w:r w:rsidRPr="00FA4C99">
        <w:rPr>
          <w:rFonts w:ascii="宋体" w:hAnsi="宋体" w:hint="eastAsia"/>
        </w:rPr>
        <w:t>分类，去掉综合，</w:t>
      </w:r>
      <w:r>
        <w:rPr>
          <w:rFonts w:ascii="宋体" w:hAnsi="宋体" w:hint="eastAsia"/>
        </w:rPr>
        <w:t>今年新增至27</w:t>
      </w:r>
      <w:r w:rsidRPr="00FA4C99">
        <w:rPr>
          <w:rFonts w:ascii="宋体" w:hAnsi="宋体" w:hint="eastAsia"/>
        </w:rPr>
        <w:t>个行业分类：</w:t>
      </w:r>
      <w:r>
        <w:rPr>
          <w:rFonts w:ascii="宋体" w:hAnsi="宋体" w:cs="宋体" w:hint="eastAsia"/>
          <w:color w:val="000000"/>
          <w:kern w:val="0"/>
          <w:sz w:val="22"/>
          <w:szCs w:val="22"/>
        </w:rPr>
        <w:t>采掘、传媒、电气设备、电子、房地产、纺织服装、非银金融、钢铁、公用事业、国防军工、化工、机械设备、计算机、家用电器、建筑材料、建筑装饰、交通运输、农林牧渔、汽车、轻工制造、商业贸易、食品饮料、通信、休闲服务、医药生物、银行、有色金属</w:t>
      </w:r>
      <w:r w:rsidRPr="00FA4C99">
        <w:rPr>
          <w:rFonts w:ascii="宋体" w:hAnsi="宋体" w:cs="宋体" w:hint="eastAsia"/>
          <w:color w:val="000000"/>
          <w:kern w:val="0"/>
          <w:sz w:val="22"/>
          <w:szCs w:val="22"/>
        </w:rPr>
        <w:t>。</w:t>
      </w:r>
    </w:p>
    <w:p w:rsidR="00957DEF" w:rsidRPr="00BC1767" w:rsidRDefault="00957DEF" w:rsidP="00957DEF">
      <w:pPr>
        <w:pStyle w:val="2"/>
        <w:rPr>
          <w:rFonts w:ascii="宋体" w:eastAsia="宋体" w:hAnsi="宋体"/>
          <w:sz w:val="28"/>
          <w:szCs w:val="28"/>
        </w:rPr>
      </w:pPr>
      <w:r>
        <w:rPr>
          <w:rFonts w:ascii="宋体" w:eastAsia="宋体" w:hAnsi="宋体"/>
          <w:sz w:val="28"/>
          <w:szCs w:val="28"/>
        </w:rPr>
        <w:lastRenderedPageBreak/>
        <w:t>5</w:t>
      </w:r>
      <w:r>
        <w:rPr>
          <w:rFonts w:ascii="宋体" w:eastAsia="宋体" w:hAnsi="宋体" w:hint="eastAsia"/>
          <w:sz w:val="28"/>
          <w:szCs w:val="28"/>
        </w:rPr>
        <w:t>．</w:t>
      </w:r>
      <w:r w:rsidRPr="00BC1767">
        <w:rPr>
          <w:rFonts w:ascii="宋体" w:eastAsia="宋体" w:hAnsi="宋体" w:hint="eastAsia"/>
          <w:sz w:val="28"/>
          <w:szCs w:val="28"/>
        </w:rPr>
        <w:t>奖项说明</w:t>
      </w:r>
    </w:p>
    <w:p w:rsidR="00957DEF" w:rsidRPr="00FA4C99" w:rsidRDefault="00957DEF" w:rsidP="00957DEF">
      <w:pPr>
        <w:widowControl/>
        <w:jc w:val="left"/>
        <w:rPr>
          <w:rFonts w:ascii="宋体" w:hAnsi="宋体"/>
          <w:b/>
        </w:rPr>
      </w:pPr>
      <w:r w:rsidRPr="00FA4C99">
        <w:rPr>
          <w:rFonts w:ascii="宋体" w:hAnsi="宋体"/>
          <w:b/>
        </w:rPr>
        <w:t xml:space="preserve">5.1 </w:t>
      </w:r>
      <w:r w:rsidRPr="00FA4C99">
        <w:rPr>
          <w:rFonts w:ascii="宋体" w:hAnsi="宋体" w:hint="eastAsia"/>
          <w:b/>
        </w:rPr>
        <w:t>行业最佳选</w:t>
      </w:r>
      <w:proofErr w:type="gramStart"/>
      <w:r w:rsidRPr="00FA4C99">
        <w:rPr>
          <w:rFonts w:ascii="宋体" w:hAnsi="宋体" w:hint="eastAsia"/>
          <w:b/>
        </w:rPr>
        <w:t>股分</w:t>
      </w:r>
      <w:proofErr w:type="gramEnd"/>
      <w:r w:rsidRPr="00FA4C99">
        <w:rPr>
          <w:rFonts w:ascii="宋体" w:hAnsi="宋体" w:hint="eastAsia"/>
          <w:b/>
        </w:rPr>
        <w:t>析师</w:t>
      </w:r>
    </w:p>
    <w:p w:rsidR="00042AFF" w:rsidRPr="00042AFF" w:rsidRDefault="00957DEF" w:rsidP="004E1080">
      <w:pPr>
        <w:widowControl/>
        <w:spacing w:beforeLines="50"/>
        <w:ind w:firstLineChars="200" w:firstLine="420"/>
        <w:jc w:val="left"/>
        <w:rPr>
          <w:rFonts w:ascii="宋体" w:hAnsi="宋体"/>
        </w:rPr>
      </w:pPr>
      <w:r w:rsidRPr="00FA4C99">
        <w:rPr>
          <w:rFonts w:ascii="宋体" w:hAnsi="宋体" w:hint="eastAsia"/>
        </w:rPr>
        <w:t>评比的依据为推荐股票对行业的超额收益。根据分析师给出的投资评级构建组合，计算组合对行业指数的超额收益。行业前三名获得行业最佳选</w:t>
      </w:r>
      <w:proofErr w:type="gramStart"/>
      <w:r w:rsidRPr="00FA4C99">
        <w:rPr>
          <w:rFonts w:ascii="宋体" w:hAnsi="宋体" w:hint="eastAsia"/>
        </w:rPr>
        <w:t>股分析师称号</w:t>
      </w:r>
      <w:proofErr w:type="gramEnd"/>
      <w:r w:rsidRPr="00FA4C99">
        <w:rPr>
          <w:rFonts w:ascii="宋体" w:hAnsi="宋体" w:hint="eastAsia"/>
        </w:rPr>
        <w:t>。</w:t>
      </w:r>
    </w:p>
    <w:p w:rsidR="00957DEF" w:rsidRPr="00FA4C99" w:rsidRDefault="00957DEF" w:rsidP="004E1080">
      <w:pPr>
        <w:widowControl/>
        <w:spacing w:beforeLines="50"/>
        <w:jc w:val="left"/>
        <w:rPr>
          <w:rFonts w:ascii="宋体" w:hAnsi="宋体"/>
        </w:rPr>
      </w:pPr>
      <w:r w:rsidRPr="00FA4C99">
        <w:rPr>
          <w:rFonts w:ascii="宋体" w:hAnsi="宋体" w:hint="eastAsia"/>
        </w:rPr>
        <w:t>行业超额收益的具体计算如下：</w:t>
      </w:r>
    </w:p>
    <w:p w:rsidR="00957DEF" w:rsidRPr="00FA4C99" w:rsidRDefault="00957DEF" w:rsidP="00957DEF">
      <w:pPr>
        <w:ind w:firstLine="420"/>
        <w:rPr>
          <w:rFonts w:ascii="宋体" w:hAnsi="宋体"/>
          <w:b/>
          <w:szCs w:val="21"/>
        </w:rPr>
      </w:pPr>
      <w:r w:rsidRPr="00FA4C99">
        <w:rPr>
          <w:rFonts w:ascii="宋体" w:hAnsi="宋体" w:hint="eastAsia"/>
          <w:b/>
          <w:szCs w:val="21"/>
        </w:rPr>
        <w:t>步骤</w:t>
      </w:r>
      <w:proofErr w:type="gramStart"/>
      <w:r w:rsidRPr="00FA4C99">
        <w:rPr>
          <w:rFonts w:ascii="宋体" w:hAnsi="宋体" w:hint="eastAsia"/>
          <w:b/>
          <w:szCs w:val="21"/>
        </w:rPr>
        <w:t>一</w:t>
      </w:r>
      <w:proofErr w:type="gramEnd"/>
      <w:r w:rsidRPr="00FA4C99">
        <w:rPr>
          <w:rFonts w:ascii="宋体" w:hAnsi="宋体" w:hint="eastAsia"/>
          <w:b/>
          <w:szCs w:val="21"/>
        </w:rPr>
        <w:t>：</w:t>
      </w:r>
    </w:p>
    <w:p w:rsidR="00957DEF" w:rsidRPr="00FA4C99" w:rsidRDefault="00957DEF" w:rsidP="00957DEF">
      <w:pPr>
        <w:ind w:firstLine="420"/>
        <w:rPr>
          <w:rFonts w:ascii="宋体" w:hAnsi="宋体"/>
          <w:szCs w:val="21"/>
        </w:rPr>
      </w:pPr>
      <w:r w:rsidRPr="00FA4C99">
        <w:rPr>
          <w:rFonts w:ascii="宋体" w:hAnsi="宋体" w:hint="eastAsia"/>
          <w:szCs w:val="21"/>
        </w:rPr>
        <w:t>先对分析师评级所包含的单只股票进行涨跌幅计算，根据分析师评级的结果并结合对应股票在评级点的股价的表现对每个评级点进行回报率（涨跌幅）的计算，计算时按照下面的规则：</w:t>
      </w:r>
    </w:p>
    <w:p w:rsidR="00957DEF" w:rsidRPr="00FA4C99" w:rsidRDefault="00957DEF" w:rsidP="00957DEF">
      <w:pPr>
        <w:pStyle w:val="1"/>
        <w:spacing w:line="360" w:lineRule="auto"/>
        <w:ind w:left="360" w:firstLineChars="0" w:firstLine="0"/>
        <w:rPr>
          <w:rFonts w:ascii="宋体" w:hAnsi="宋体"/>
        </w:rPr>
      </w:pPr>
      <w:bookmarkStart w:id="0" w:name="OLE_LINK1"/>
      <w:r w:rsidRPr="00FA4C99">
        <w:rPr>
          <w:rFonts w:ascii="宋体" w:hAnsi="宋体" w:hint="eastAsia"/>
        </w:rPr>
        <w:t>分析师的评级结果分为“强烈买入”、“买入”、</w:t>
      </w:r>
      <w:r w:rsidRPr="00FA4C99">
        <w:rPr>
          <w:rFonts w:ascii="宋体" w:hAnsi="宋体"/>
        </w:rPr>
        <w:t xml:space="preserve"> </w:t>
      </w:r>
      <w:r w:rsidRPr="00FA4C99">
        <w:rPr>
          <w:rFonts w:ascii="宋体" w:hAnsi="宋体" w:hint="eastAsia"/>
        </w:rPr>
        <w:t>“观望”、“适度减持”“卖出”五个等级；依照每一分析师的上述五</w:t>
      </w:r>
      <w:proofErr w:type="gramStart"/>
      <w:r w:rsidRPr="00FA4C99">
        <w:rPr>
          <w:rFonts w:ascii="宋体" w:hAnsi="宋体" w:hint="eastAsia"/>
        </w:rPr>
        <w:t>档建议</w:t>
      </w:r>
      <w:proofErr w:type="gramEnd"/>
      <w:r w:rsidRPr="00FA4C99">
        <w:rPr>
          <w:rFonts w:ascii="宋体" w:hAnsi="宋体" w:hint="eastAsia"/>
        </w:rPr>
        <w:t>为基础，为其建立一个无杠杆投资组合收益：</w:t>
      </w:r>
    </w:p>
    <w:p w:rsidR="00957DEF" w:rsidRPr="00FA4C99" w:rsidRDefault="00957DEF" w:rsidP="00957DEF">
      <w:pPr>
        <w:pStyle w:val="1"/>
        <w:spacing w:line="360" w:lineRule="auto"/>
        <w:ind w:left="360" w:firstLineChars="0" w:firstLine="0"/>
        <w:rPr>
          <w:rFonts w:ascii="宋体" w:hAnsi="宋体"/>
        </w:rPr>
      </w:pPr>
      <w:r w:rsidRPr="00FA4C99">
        <w:rPr>
          <w:rFonts w:ascii="宋体" w:hAnsi="宋体" w:hint="eastAsia"/>
        </w:rPr>
        <w:t>强烈买入</w:t>
      </w:r>
      <w:r w:rsidRPr="00FA4C99">
        <w:rPr>
          <w:rFonts w:ascii="宋体" w:hAnsi="宋体"/>
        </w:rPr>
        <w:t>——</w:t>
      </w:r>
      <w:r w:rsidRPr="00FA4C99">
        <w:rPr>
          <w:rFonts w:ascii="宋体" w:hAnsi="宋体" w:hint="eastAsia"/>
        </w:rPr>
        <w:t>超额报酬</w:t>
      </w:r>
      <w:r w:rsidRPr="00FA4C99">
        <w:rPr>
          <w:rFonts w:ascii="宋体" w:hAnsi="宋体"/>
        </w:rPr>
        <w:t xml:space="preserve">= </w:t>
      </w:r>
      <w:r w:rsidRPr="00FA4C99">
        <w:rPr>
          <w:rFonts w:ascii="宋体" w:hAnsi="宋体" w:hint="eastAsia"/>
        </w:rPr>
        <w:object w:dxaOrig="1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o:ole="">
            <v:imagedata r:id="rId8" o:title=""/>
          </v:shape>
          <o:OLEObject Type="Embed" ProgID="Equation.DSMT4" ShapeID="_x0000_i1025" DrawAspect="Content" ObjectID="_1465383291" r:id="rId9"/>
        </w:object>
      </w:r>
      <w:r w:rsidRPr="00FA4C99">
        <w:rPr>
          <w:rFonts w:ascii="宋体" w:hAnsi="宋体" w:hint="eastAsia"/>
        </w:rPr>
        <w:t>；</w:t>
      </w:r>
      <w:r w:rsidRPr="00FA4C99">
        <w:rPr>
          <w:rFonts w:ascii="宋体" w:hAnsi="宋体" w:hint="eastAsia"/>
        </w:rPr>
        <w:object w:dxaOrig="220" w:dyaOrig="360">
          <v:shape id="_x0000_i1026" type="#_x0000_t75" style="width:11.25pt;height:18pt" o:ole="">
            <v:imagedata r:id="rId10" o:title=""/>
          </v:shape>
          <o:OLEObject Type="Embed" ProgID="Equation.DSMT4" ShapeID="_x0000_i1026" DrawAspect="Content" ObjectID="_1465383292" r:id="rId11"/>
        </w:object>
      </w:r>
      <w:r w:rsidRPr="00FA4C99">
        <w:rPr>
          <w:rFonts w:ascii="宋体" w:hAnsi="宋体" w:hint="eastAsia"/>
        </w:rPr>
        <w:t>为所推荐股票报告期内的绝对回报率，后一项为同期相应行业指数回报率。以下依此类推。</w:t>
      </w:r>
    </w:p>
    <w:p w:rsidR="00957DEF" w:rsidRPr="00FA4C99" w:rsidRDefault="00957DEF" w:rsidP="00957DEF">
      <w:pPr>
        <w:pStyle w:val="1"/>
        <w:spacing w:line="360" w:lineRule="auto"/>
        <w:ind w:left="360" w:firstLineChars="0" w:firstLine="0"/>
        <w:rPr>
          <w:rFonts w:ascii="宋体" w:hAnsi="宋体"/>
        </w:rPr>
      </w:pPr>
      <w:r w:rsidRPr="00FA4C99">
        <w:rPr>
          <w:rFonts w:ascii="宋体" w:hAnsi="宋体" w:hint="eastAsia"/>
        </w:rPr>
        <w:t>买入</w:t>
      </w:r>
      <w:r w:rsidRPr="00FA4C99">
        <w:rPr>
          <w:rFonts w:ascii="宋体" w:hAnsi="宋体"/>
        </w:rPr>
        <w:t>——</w:t>
      </w:r>
      <w:r w:rsidRPr="00FA4C99">
        <w:rPr>
          <w:rFonts w:ascii="宋体" w:hAnsi="宋体" w:hint="eastAsia"/>
        </w:rPr>
        <w:t>超额报酬</w:t>
      </w:r>
      <w:r w:rsidRPr="00FA4C99">
        <w:rPr>
          <w:rFonts w:ascii="宋体" w:hAnsi="宋体"/>
        </w:rPr>
        <w:t xml:space="preserve">= </w:t>
      </w:r>
      <w:r w:rsidRPr="00FA4C99">
        <w:rPr>
          <w:rFonts w:ascii="宋体" w:hAnsi="宋体" w:hint="eastAsia"/>
        </w:rPr>
        <w:object w:dxaOrig="1300" w:dyaOrig="360">
          <v:shape id="_x0000_i1027" type="#_x0000_t75" style="width:65.25pt;height:18pt" o:ole="">
            <v:imagedata r:id="rId12" o:title=""/>
          </v:shape>
          <o:OLEObject Type="Embed" ProgID="Equation.DSMT4" ShapeID="_x0000_i1027" DrawAspect="Content" ObjectID="_1465383293" r:id="rId13"/>
        </w:object>
      </w:r>
      <w:r w:rsidRPr="00FA4C99">
        <w:rPr>
          <w:rFonts w:ascii="宋体" w:hAnsi="宋体" w:hint="eastAsia"/>
        </w:rPr>
        <w:t>；</w:t>
      </w:r>
      <w:r w:rsidRPr="00FA4C99">
        <w:rPr>
          <w:rFonts w:ascii="宋体" w:hAnsi="宋体"/>
        </w:rPr>
        <w:t xml:space="preserve"> </w:t>
      </w:r>
    </w:p>
    <w:p w:rsidR="00957DEF" w:rsidRPr="00FA4C99" w:rsidRDefault="00957DEF" w:rsidP="00957DEF">
      <w:pPr>
        <w:pStyle w:val="1"/>
        <w:spacing w:line="360" w:lineRule="auto"/>
        <w:ind w:left="360" w:firstLineChars="0" w:firstLine="0"/>
        <w:rPr>
          <w:rFonts w:ascii="宋体" w:hAnsi="宋体"/>
        </w:rPr>
      </w:pPr>
      <w:r w:rsidRPr="00FA4C99">
        <w:rPr>
          <w:rFonts w:ascii="宋体" w:hAnsi="宋体" w:hint="eastAsia"/>
        </w:rPr>
        <w:t>观望</w:t>
      </w:r>
      <w:r w:rsidRPr="00FA4C99">
        <w:rPr>
          <w:rFonts w:ascii="宋体" w:hAnsi="宋体"/>
        </w:rPr>
        <w:t>——</w:t>
      </w:r>
      <w:r w:rsidRPr="00FA4C99">
        <w:rPr>
          <w:rFonts w:ascii="宋体" w:hAnsi="宋体" w:hint="eastAsia"/>
        </w:rPr>
        <w:t>超额报酬</w:t>
      </w:r>
      <w:r w:rsidRPr="00FA4C99">
        <w:rPr>
          <w:rFonts w:ascii="宋体" w:hAnsi="宋体"/>
        </w:rPr>
        <w:t>=0</w:t>
      </w:r>
      <w:r w:rsidRPr="00FA4C99">
        <w:rPr>
          <w:rFonts w:ascii="宋体" w:hAnsi="宋体" w:hint="eastAsia"/>
        </w:rPr>
        <w:t>；</w:t>
      </w:r>
    </w:p>
    <w:p w:rsidR="00957DEF" w:rsidRPr="00FA4C99" w:rsidRDefault="00957DEF" w:rsidP="00957DEF">
      <w:pPr>
        <w:pStyle w:val="1"/>
        <w:spacing w:line="360" w:lineRule="auto"/>
        <w:ind w:left="360" w:firstLineChars="0" w:firstLine="0"/>
        <w:rPr>
          <w:rFonts w:ascii="宋体" w:hAnsi="宋体"/>
        </w:rPr>
      </w:pPr>
      <w:r w:rsidRPr="00FA4C99">
        <w:rPr>
          <w:rFonts w:ascii="宋体" w:hAnsi="宋体" w:hint="eastAsia"/>
        </w:rPr>
        <w:t>适度减持</w:t>
      </w:r>
      <w:r w:rsidRPr="00FA4C99">
        <w:rPr>
          <w:rFonts w:ascii="宋体" w:hAnsi="宋体"/>
        </w:rPr>
        <w:t>——</w:t>
      </w:r>
      <w:r w:rsidRPr="00FA4C99">
        <w:rPr>
          <w:rFonts w:ascii="宋体" w:hAnsi="宋体" w:hint="eastAsia"/>
        </w:rPr>
        <w:t>超额报酬</w:t>
      </w:r>
      <w:r w:rsidRPr="00FA4C99">
        <w:rPr>
          <w:rFonts w:ascii="宋体" w:hAnsi="宋体"/>
        </w:rPr>
        <w:t xml:space="preserve">= </w:t>
      </w:r>
      <w:r w:rsidRPr="00FA4C99">
        <w:rPr>
          <w:rFonts w:ascii="宋体" w:hAnsi="宋体" w:hint="eastAsia"/>
        </w:rPr>
        <w:object w:dxaOrig="1300" w:dyaOrig="360">
          <v:shape id="_x0000_i1028" type="#_x0000_t75" style="width:65.25pt;height:18pt" o:ole="">
            <v:imagedata r:id="rId14" o:title=""/>
          </v:shape>
          <o:OLEObject Type="Embed" ProgID="Equation.DSMT4" ShapeID="_x0000_i1028" DrawAspect="Content" ObjectID="_1465383294" r:id="rId15"/>
        </w:object>
      </w:r>
      <w:r w:rsidRPr="00FA4C99">
        <w:rPr>
          <w:rFonts w:ascii="宋体" w:hAnsi="宋体" w:hint="eastAsia"/>
        </w:rPr>
        <w:t>；</w:t>
      </w:r>
    </w:p>
    <w:p w:rsidR="00957DEF" w:rsidRPr="00FA4C99" w:rsidRDefault="00957DEF" w:rsidP="00957DEF">
      <w:pPr>
        <w:pStyle w:val="1"/>
        <w:spacing w:line="360" w:lineRule="auto"/>
        <w:ind w:left="360" w:firstLineChars="0" w:firstLine="0"/>
        <w:rPr>
          <w:rFonts w:ascii="宋体" w:hAnsi="宋体"/>
          <w:sz w:val="24"/>
        </w:rPr>
      </w:pPr>
      <w:r w:rsidRPr="00FA4C99">
        <w:rPr>
          <w:rFonts w:ascii="宋体" w:hAnsi="宋体" w:hint="eastAsia"/>
        </w:rPr>
        <w:t>卖出</w:t>
      </w:r>
      <w:r w:rsidRPr="00FA4C99">
        <w:rPr>
          <w:rFonts w:ascii="宋体" w:hAnsi="宋体"/>
        </w:rPr>
        <w:t>——</w:t>
      </w:r>
      <w:r w:rsidRPr="00FA4C99">
        <w:rPr>
          <w:rFonts w:ascii="宋体" w:hAnsi="宋体" w:hint="eastAsia"/>
        </w:rPr>
        <w:t>超额报酬</w:t>
      </w:r>
      <w:r w:rsidRPr="00FA4C99">
        <w:rPr>
          <w:rFonts w:ascii="宋体" w:hAnsi="宋体"/>
        </w:rPr>
        <w:t xml:space="preserve">= </w:t>
      </w:r>
      <w:r w:rsidRPr="00FA4C99">
        <w:rPr>
          <w:rFonts w:ascii="宋体" w:hAnsi="宋体" w:hint="eastAsia"/>
        </w:rPr>
        <w:object w:dxaOrig="1600" w:dyaOrig="360">
          <v:shape id="_x0000_i1029" type="#_x0000_t75" style="width:80.25pt;height:18pt" o:ole="">
            <v:imagedata r:id="rId16" o:title=""/>
          </v:shape>
          <o:OLEObject Type="Embed" ProgID="Equation.DSMT4" ShapeID="_x0000_i1029" DrawAspect="Content" ObjectID="_1465383295" r:id="rId17"/>
        </w:object>
      </w:r>
      <w:r w:rsidRPr="00FA4C99">
        <w:rPr>
          <w:rFonts w:ascii="宋体" w:hAnsi="宋体" w:hint="eastAsia"/>
          <w:sz w:val="24"/>
        </w:rPr>
        <w:t>。</w:t>
      </w:r>
    </w:p>
    <w:p w:rsidR="00957DEF" w:rsidRPr="00FA4C99" w:rsidRDefault="00957DEF" w:rsidP="00042AFF">
      <w:pPr>
        <w:ind w:firstLine="420"/>
        <w:rPr>
          <w:rFonts w:ascii="宋体" w:hAnsi="宋体"/>
          <w:szCs w:val="21"/>
        </w:rPr>
      </w:pPr>
      <w:r w:rsidRPr="00FA4C99">
        <w:rPr>
          <w:rFonts w:ascii="宋体" w:hAnsi="宋体" w:hint="eastAsia"/>
          <w:szCs w:val="21"/>
        </w:rPr>
        <w:t>对于单只股票的将所有评级点的超额收益相加，即可得到单只股票的超额收益</w:t>
      </w:r>
      <w:r w:rsidRPr="00FA4C99">
        <w:rPr>
          <w:rFonts w:ascii="宋体" w:hAnsi="宋体" w:hint="eastAsia"/>
          <w:position w:val="-4"/>
          <w:szCs w:val="21"/>
        </w:rPr>
        <w:object w:dxaOrig="260" w:dyaOrig="260">
          <v:shape id="_x0000_i1030" type="#_x0000_t75" style="width:12.75pt;height:12.75pt" o:ole="">
            <v:imagedata r:id="rId18" o:title=""/>
          </v:shape>
          <o:OLEObject Type="Embed" ProgID="Equation.3" ShapeID="_x0000_i1030" DrawAspect="Content" ObjectID="_1465383296" r:id="rId19"/>
        </w:object>
      </w:r>
      <w:r w:rsidRPr="00FA4C99">
        <w:rPr>
          <w:rFonts w:ascii="宋体" w:hAnsi="宋体" w:hint="eastAsia"/>
          <w:szCs w:val="21"/>
        </w:rPr>
        <w:t>。</w:t>
      </w:r>
      <w:bookmarkEnd w:id="0"/>
    </w:p>
    <w:p w:rsidR="00957DEF" w:rsidRPr="00FA4C99" w:rsidRDefault="00957DEF" w:rsidP="004E1080">
      <w:pPr>
        <w:spacing w:beforeLines="100"/>
        <w:ind w:firstLine="420"/>
        <w:rPr>
          <w:rFonts w:ascii="宋体" w:hAnsi="宋体"/>
          <w:b/>
          <w:szCs w:val="21"/>
        </w:rPr>
      </w:pPr>
      <w:r w:rsidRPr="00FA4C99">
        <w:rPr>
          <w:rFonts w:ascii="宋体" w:hAnsi="宋体" w:hint="eastAsia"/>
          <w:b/>
          <w:szCs w:val="21"/>
        </w:rPr>
        <w:t>步骤二：</w:t>
      </w:r>
    </w:p>
    <w:p w:rsidR="00957DEF" w:rsidRPr="00FA4C99" w:rsidRDefault="00957DEF" w:rsidP="00957DEF">
      <w:pPr>
        <w:ind w:firstLine="420"/>
        <w:rPr>
          <w:rFonts w:ascii="宋体" w:hAnsi="宋体"/>
          <w:szCs w:val="21"/>
        </w:rPr>
      </w:pPr>
      <w:r w:rsidRPr="00FA4C99">
        <w:rPr>
          <w:rFonts w:ascii="宋体" w:hAnsi="宋体" w:hint="eastAsia"/>
          <w:szCs w:val="21"/>
        </w:rPr>
        <w:t>按照此次评选的原则根据明星分析师和行业分析师的特点，对于分析师的所有评级股票的合计涨跌</w:t>
      </w:r>
      <w:proofErr w:type="gramStart"/>
      <w:r w:rsidRPr="00FA4C99">
        <w:rPr>
          <w:rFonts w:ascii="宋体" w:hAnsi="宋体" w:hint="eastAsia"/>
          <w:szCs w:val="21"/>
        </w:rPr>
        <w:t>幅采用</w:t>
      </w:r>
      <w:proofErr w:type="gramEnd"/>
      <w:r w:rsidRPr="00FA4C99">
        <w:rPr>
          <w:rFonts w:ascii="宋体" w:hAnsi="宋体" w:hint="eastAsia"/>
          <w:szCs w:val="21"/>
        </w:rPr>
        <w:t>相同的处理办法：</w:t>
      </w:r>
    </w:p>
    <w:p w:rsidR="00957DEF" w:rsidRPr="00FA4C99" w:rsidRDefault="00957DEF" w:rsidP="00957DEF">
      <w:pPr>
        <w:ind w:firstLine="420"/>
        <w:rPr>
          <w:rFonts w:ascii="宋体" w:hAnsi="宋体"/>
          <w:szCs w:val="21"/>
        </w:rPr>
      </w:pPr>
      <w:r w:rsidRPr="00FA4C99">
        <w:rPr>
          <w:rFonts w:ascii="宋体" w:hAnsi="宋体" w:hint="eastAsia"/>
          <w:szCs w:val="21"/>
        </w:rPr>
        <w:t>（</w:t>
      </w:r>
      <w:r w:rsidRPr="00FA4C99">
        <w:rPr>
          <w:rFonts w:ascii="宋体" w:hAnsi="宋体"/>
          <w:szCs w:val="21"/>
        </w:rPr>
        <w:t>1</w:t>
      </w:r>
      <w:r w:rsidRPr="00FA4C99">
        <w:rPr>
          <w:rFonts w:ascii="宋体" w:hAnsi="宋体" w:hint="eastAsia"/>
          <w:szCs w:val="21"/>
        </w:rPr>
        <w:t>）首先计算行业分析师的平均评级股票数，用</w:t>
      </w:r>
      <w:r w:rsidRPr="00FA4C99">
        <w:rPr>
          <w:rFonts w:ascii="宋体" w:hAnsi="宋体" w:hint="eastAsia"/>
          <w:position w:val="-6"/>
          <w:szCs w:val="21"/>
        </w:rPr>
        <w:object w:dxaOrig="260" w:dyaOrig="279">
          <v:shape id="_x0000_i1031" type="#_x0000_t75" style="width:12.75pt;height:14.25pt" o:ole="">
            <v:imagedata r:id="rId20" o:title=""/>
          </v:shape>
          <o:OLEObject Type="Embed" ProgID="Equation.3" ShapeID="_x0000_i1031" DrawAspect="Content" ObjectID="_1465383297" r:id="rId21"/>
        </w:object>
      </w:r>
      <w:r w:rsidRPr="00FA4C99">
        <w:rPr>
          <w:rFonts w:ascii="宋体" w:hAnsi="宋体" w:hint="eastAsia"/>
          <w:szCs w:val="21"/>
        </w:rPr>
        <w:t>表示</w:t>
      </w:r>
    </w:p>
    <w:p w:rsidR="00957DEF" w:rsidRDefault="00957DEF" w:rsidP="00042AFF">
      <w:pPr>
        <w:ind w:firstLine="420"/>
        <w:rPr>
          <w:rFonts w:ascii="宋体" w:hAnsi="宋体"/>
          <w:szCs w:val="21"/>
        </w:rPr>
      </w:pPr>
      <w:r w:rsidRPr="00FA4C99">
        <w:rPr>
          <w:rFonts w:ascii="宋体" w:hAnsi="宋体" w:hint="eastAsia"/>
          <w:szCs w:val="21"/>
        </w:rPr>
        <w:t>（</w:t>
      </w:r>
      <w:r w:rsidRPr="00FA4C99">
        <w:rPr>
          <w:rFonts w:ascii="宋体" w:hAnsi="宋体"/>
          <w:szCs w:val="21"/>
        </w:rPr>
        <w:t>2</w:t>
      </w:r>
      <w:r w:rsidRPr="00FA4C99">
        <w:rPr>
          <w:rFonts w:ascii="宋体" w:hAnsi="宋体" w:hint="eastAsia"/>
          <w:szCs w:val="21"/>
        </w:rPr>
        <w:t>）将第一步计算出来的单只股票的超额收益按照分析</w:t>
      </w:r>
      <w:proofErr w:type="gramStart"/>
      <w:r w:rsidRPr="00FA4C99">
        <w:rPr>
          <w:rFonts w:ascii="宋体" w:hAnsi="宋体" w:hint="eastAsia"/>
          <w:szCs w:val="21"/>
        </w:rPr>
        <w:t>师所有</w:t>
      </w:r>
      <w:proofErr w:type="gramEnd"/>
      <w:r w:rsidRPr="00FA4C99">
        <w:rPr>
          <w:rFonts w:ascii="宋体" w:hAnsi="宋体" w:hint="eastAsia"/>
          <w:szCs w:val="21"/>
        </w:rPr>
        <w:t>评级股票（假设有</w:t>
      </w:r>
      <w:r w:rsidRPr="00FA4C99">
        <w:rPr>
          <w:rFonts w:ascii="宋体" w:hAnsi="宋体" w:hint="eastAsia"/>
          <w:position w:val="-4"/>
          <w:szCs w:val="21"/>
        </w:rPr>
        <w:object w:dxaOrig="260" w:dyaOrig="260">
          <v:shape id="_x0000_i1032" type="#_x0000_t75" style="width:12.75pt;height:12.75pt" o:ole="">
            <v:imagedata r:id="rId22" o:title=""/>
          </v:shape>
          <o:OLEObject Type="Embed" ProgID="Equation.3" ShapeID="_x0000_i1032" DrawAspect="Content" ObjectID="_1465383298" r:id="rId23"/>
        </w:object>
      </w:r>
      <w:r w:rsidRPr="00FA4C99">
        <w:rPr>
          <w:rFonts w:ascii="宋体" w:hAnsi="宋体" w:hint="eastAsia"/>
          <w:szCs w:val="21"/>
        </w:rPr>
        <w:t>支股票）进行累加求和</w:t>
      </w:r>
    </w:p>
    <w:p w:rsidR="00957DEF" w:rsidRPr="00042AFF" w:rsidRDefault="00957DEF" w:rsidP="00042AFF">
      <w:pPr>
        <w:ind w:firstLine="420"/>
        <w:rPr>
          <w:rFonts w:ascii="宋体" w:hAnsi="宋体"/>
          <w:position w:val="-24"/>
          <w:szCs w:val="21"/>
        </w:rPr>
      </w:pPr>
      <w:r w:rsidRPr="00FA4C99">
        <w:rPr>
          <w:rFonts w:ascii="宋体" w:hAnsi="宋体" w:hint="eastAsia"/>
          <w:szCs w:val="21"/>
        </w:rPr>
        <w:t>（</w:t>
      </w:r>
      <w:r w:rsidRPr="00FA4C99">
        <w:rPr>
          <w:rFonts w:ascii="宋体" w:hAnsi="宋体"/>
          <w:szCs w:val="21"/>
        </w:rPr>
        <w:t>3</w:t>
      </w:r>
      <w:r w:rsidRPr="00FA4C99">
        <w:rPr>
          <w:rFonts w:ascii="宋体" w:hAnsi="宋体" w:hint="eastAsia"/>
          <w:szCs w:val="21"/>
        </w:rPr>
        <w:t>）然后比较</w:t>
      </w:r>
      <w:r w:rsidRPr="00FA4C99">
        <w:rPr>
          <w:rFonts w:ascii="宋体" w:hAnsi="宋体" w:hint="eastAsia"/>
          <w:position w:val="-4"/>
          <w:szCs w:val="21"/>
        </w:rPr>
        <w:object w:dxaOrig="260" w:dyaOrig="260">
          <v:shape id="_x0000_i1033" type="#_x0000_t75" style="width:12.75pt;height:12.75pt" o:ole="">
            <v:imagedata r:id="rId22" o:title=""/>
          </v:shape>
          <o:OLEObject Type="Embed" ProgID="Equation.3" ShapeID="_x0000_i1033" DrawAspect="Content" ObjectID="_1465383299" r:id="rId24"/>
        </w:object>
      </w:r>
      <w:r w:rsidRPr="00FA4C99">
        <w:rPr>
          <w:rFonts w:ascii="宋体" w:hAnsi="宋体" w:hint="eastAsia"/>
          <w:szCs w:val="21"/>
        </w:rPr>
        <w:t>和</w:t>
      </w:r>
      <w:r w:rsidRPr="00FA4C99">
        <w:rPr>
          <w:rFonts w:ascii="宋体" w:hAnsi="宋体" w:hint="eastAsia"/>
          <w:position w:val="-6"/>
          <w:szCs w:val="21"/>
        </w:rPr>
        <w:object w:dxaOrig="260" w:dyaOrig="279">
          <v:shape id="_x0000_i1034" type="#_x0000_t75" style="width:12.75pt;height:14.25pt" o:ole="">
            <v:imagedata r:id="rId20" o:title=""/>
          </v:shape>
          <o:OLEObject Type="Embed" ProgID="Equation.3" ShapeID="_x0000_i1034" DrawAspect="Content" ObjectID="_1465383300" r:id="rId25"/>
        </w:object>
      </w:r>
      <w:r w:rsidRPr="00FA4C99">
        <w:rPr>
          <w:rFonts w:ascii="宋体" w:hAnsi="宋体" w:hint="eastAsia"/>
          <w:szCs w:val="21"/>
        </w:rPr>
        <w:t>，如果</w:t>
      </w:r>
      <w:r w:rsidRPr="00FA4C99">
        <w:rPr>
          <w:rFonts w:ascii="宋体" w:hAnsi="宋体" w:hint="eastAsia"/>
          <w:position w:val="-6"/>
          <w:szCs w:val="21"/>
        </w:rPr>
        <w:object w:dxaOrig="700" w:dyaOrig="279">
          <v:shape id="_x0000_i1035" type="#_x0000_t75" style="width:35.25pt;height:14.25pt" o:ole="">
            <v:imagedata r:id="rId26" o:title=""/>
          </v:shape>
          <o:OLEObject Type="Embed" ProgID="Equation.3" ShapeID="_x0000_i1035" DrawAspect="Content" ObjectID="_1465383301" r:id="rId27"/>
        </w:object>
      </w:r>
      <w:r w:rsidRPr="00FA4C99">
        <w:rPr>
          <w:rFonts w:ascii="宋体" w:hAnsi="宋体" w:hint="eastAsia"/>
          <w:szCs w:val="21"/>
        </w:rPr>
        <w:t>，则合计涨幅值</w:t>
      </w:r>
      <w:r w:rsidRPr="00FA4C99">
        <w:rPr>
          <w:rFonts w:ascii="宋体" w:hAnsi="宋体" w:hint="eastAsia"/>
          <w:position w:val="-28"/>
          <w:szCs w:val="21"/>
        </w:rPr>
        <w:object w:dxaOrig="999" w:dyaOrig="680">
          <v:shape id="_x0000_i1036" type="#_x0000_t75" style="width:50.25pt;height:33.75pt" o:ole="">
            <v:imagedata r:id="rId28" o:title=""/>
          </v:shape>
          <o:OLEObject Type="Embed" ProgID="Equation.3" ShapeID="_x0000_i1036" DrawAspect="Content" ObjectID="_1465383302" r:id="rId29"/>
        </w:object>
      </w:r>
      <w:r w:rsidRPr="00FA4C99">
        <w:rPr>
          <w:rFonts w:ascii="宋体" w:hAnsi="宋体" w:hint="eastAsia"/>
          <w:szCs w:val="21"/>
        </w:rPr>
        <w:t>，如果</w:t>
      </w:r>
      <w:r w:rsidRPr="00FA4C99">
        <w:rPr>
          <w:rFonts w:ascii="宋体" w:hAnsi="宋体" w:hint="eastAsia"/>
          <w:position w:val="-10"/>
          <w:szCs w:val="21"/>
        </w:rPr>
        <w:object w:dxaOrig="540" w:dyaOrig="320">
          <v:shape id="_x0000_i1037" type="#_x0000_t75" style="width:27pt;height:15.75pt" o:ole="">
            <v:imagedata r:id="rId30" o:title=""/>
          </v:shape>
          <o:OLEObject Type="Embed" ProgID="Equation.3" ShapeID="_x0000_i1037" DrawAspect="Content" ObjectID="_1465383303" r:id="rId31"/>
        </w:object>
      </w:r>
      <w:r w:rsidRPr="00FA4C99">
        <w:rPr>
          <w:rFonts w:ascii="宋体" w:hAnsi="宋体" w:hint="eastAsia"/>
          <w:szCs w:val="21"/>
        </w:rPr>
        <w:t>，则合计涨幅值</w:t>
      </w:r>
      <w:r w:rsidRPr="00FA4C99">
        <w:rPr>
          <w:rFonts w:ascii="宋体" w:hAnsi="宋体" w:hint="eastAsia"/>
          <w:position w:val="-24"/>
          <w:szCs w:val="21"/>
        </w:rPr>
        <w:object w:dxaOrig="1420" w:dyaOrig="960">
          <v:shape id="_x0000_i1038" type="#_x0000_t75" style="width:71.25pt;height:48pt" o:ole="">
            <v:imagedata r:id="rId32" o:title=""/>
          </v:shape>
          <o:OLEObject Type="Embed" ProgID="Equation.3" ShapeID="_x0000_i1038" DrawAspect="Content" ObjectID="_1465383304" r:id="rId33"/>
        </w:object>
      </w:r>
    </w:p>
    <w:p w:rsidR="00957DEF" w:rsidRPr="00FA4C99" w:rsidRDefault="00957DEF" w:rsidP="004E1080">
      <w:pPr>
        <w:spacing w:beforeLines="100"/>
        <w:ind w:firstLine="420"/>
        <w:rPr>
          <w:rFonts w:ascii="宋体" w:hAnsi="宋体"/>
          <w:b/>
          <w:szCs w:val="21"/>
        </w:rPr>
      </w:pPr>
      <w:r w:rsidRPr="00FA4C99">
        <w:rPr>
          <w:rFonts w:ascii="宋体" w:hAnsi="宋体" w:hint="eastAsia"/>
          <w:b/>
          <w:szCs w:val="21"/>
        </w:rPr>
        <w:t>步骤三：</w:t>
      </w:r>
    </w:p>
    <w:p w:rsidR="00957DEF" w:rsidRPr="00FA4C99" w:rsidRDefault="00957DEF" w:rsidP="00042AFF">
      <w:pPr>
        <w:ind w:firstLine="420"/>
        <w:rPr>
          <w:rFonts w:ascii="宋体" w:hAnsi="宋体"/>
          <w:szCs w:val="21"/>
        </w:rPr>
      </w:pPr>
      <w:r w:rsidRPr="00FA4C99">
        <w:rPr>
          <w:rFonts w:ascii="宋体" w:hAnsi="宋体" w:hint="eastAsia"/>
          <w:szCs w:val="21"/>
        </w:rPr>
        <w:t>根据步骤</w:t>
      </w:r>
      <w:proofErr w:type="gramStart"/>
      <w:r w:rsidRPr="00FA4C99">
        <w:rPr>
          <w:rFonts w:ascii="宋体" w:hAnsi="宋体" w:hint="eastAsia"/>
          <w:szCs w:val="21"/>
        </w:rPr>
        <w:t>二最终</w:t>
      </w:r>
      <w:proofErr w:type="gramEnd"/>
      <w:r w:rsidRPr="00FA4C99">
        <w:rPr>
          <w:rFonts w:ascii="宋体" w:hAnsi="宋体" w:hint="eastAsia"/>
          <w:szCs w:val="21"/>
        </w:rPr>
        <w:t>计算的超额收益</w:t>
      </w:r>
      <w:r w:rsidRPr="00FA4C99">
        <w:rPr>
          <w:rFonts w:ascii="宋体" w:hAnsi="宋体" w:hint="eastAsia"/>
          <w:position w:val="-6"/>
          <w:szCs w:val="21"/>
        </w:rPr>
        <w:object w:dxaOrig="200" w:dyaOrig="279">
          <v:shape id="_x0000_i1039" type="#_x0000_t75" style="width:9.75pt;height:14.25pt" o:ole="">
            <v:imagedata r:id="rId34" o:title=""/>
          </v:shape>
          <o:OLEObject Type="Embed" ProgID="Equation.3" ShapeID="_x0000_i1039" DrawAspect="Content" ObjectID="_1465383305" r:id="rId35"/>
        </w:object>
      </w:r>
      <w:r w:rsidRPr="00FA4C99">
        <w:rPr>
          <w:rFonts w:ascii="宋体" w:hAnsi="宋体" w:hint="eastAsia"/>
          <w:szCs w:val="21"/>
        </w:rPr>
        <w:t>对于分析师进行排名。</w:t>
      </w:r>
    </w:p>
    <w:p w:rsidR="00957DEF" w:rsidRPr="00FA4C99" w:rsidRDefault="00957DEF" w:rsidP="004E1080">
      <w:pPr>
        <w:spacing w:beforeLines="100"/>
        <w:ind w:firstLine="420"/>
        <w:rPr>
          <w:rFonts w:ascii="宋体" w:hAnsi="宋体"/>
          <w:b/>
          <w:szCs w:val="21"/>
        </w:rPr>
      </w:pPr>
      <w:r w:rsidRPr="00FA4C99">
        <w:rPr>
          <w:rFonts w:ascii="宋体" w:hAnsi="宋体" w:hint="eastAsia"/>
          <w:b/>
          <w:szCs w:val="21"/>
        </w:rPr>
        <w:lastRenderedPageBreak/>
        <w:t>步骤四：</w:t>
      </w:r>
    </w:p>
    <w:p w:rsidR="00957DEF" w:rsidRPr="00362602" w:rsidRDefault="00957DEF" w:rsidP="00362602">
      <w:pPr>
        <w:ind w:firstLine="420"/>
        <w:rPr>
          <w:rFonts w:ascii="宋体" w:hAnsi="宋体"/>
          <w:szCs w:val="21"/>
        </w:rPr>
      </w:pPr>
      <w:r w:rsidRPr="00FA4C99">
        <w:rPr>
          <w:rFonts w:ascii="宋体" w:hAnsi="宋体" w:hint="eastAsia"/>
          <w:szCs w:val="21"/>
        </w:rPr>
        <w:t>根据这个涨跌幅的排名对于分析师进行百分制打分，得到分析师的投资评级行业单项得分。</w:t>
      </w:r>
    </w:p>
    <w:p w:rsidR="00957DEF" w:rsidRPr="002573EA" w:rsidRDefault="00957DEF" w:rsidP="004E1080">
      <w:pPr>
        <w:widowControl/>
        <w:spacing w:beforeLines="100"/>
        <w:ind w:leftChars="221" w:left="506" w:hangingChars="20" w:hanging="42"/>
        <w:jc w:val="left"/>
        <w:rPr>
          <w:rFonts w:ascii="宋体" w:hAnsi="宋体"/>
        </w:rPr>
      </w:pPr>
      <w:r w:rsidRPr="002573EA">
        <w:rPr>
          <w:rFonts w:ascii="宋体" w:hAnsi="宋体" w:hint="eastAsia"/>
        </w:rPr>
        <w:t>门槛设置：</w:t>
      </w:r>
    </w:p>
    <w:p w:rsidR="00957DEF" w:rsidRPr="002573EA" w:rsidRDefault="00957DEF" w:rsidP="00957DEF">
      <w:pPr>
        <w:widowControl/>
        <w:ind w:leftChars="221" w:left="506" w:hangingChars="20" w:hanging="42"/>
        <w:jc w:val="left"/>
        <w:rPr>
          <w:rFonts w:ascii="宋体" w:hAnsi="宋体"/>
        </w:rPr>
      </w:pPr>
      <w:r w:rsidRPr="002573EA">
        <w:rPr>
          <w:rFonts w:ascii="宋体" w:hAnsi="宋体" w:hint="eastAsia"/>
        </w:rPr>
        <w:t>1、一个分析</w:t>
      </w:r>
      <w:proofErr w:type="gramStart"/>
      <w:r w:rsidRPr="002573EA">
        <w:rPr>
          <w:rFonts w:ascii="宋体" w:hAnsi="宋体" w:hint="eastAsia"/>
        </w:rPr>
        <w:t>师至少</w:t>
      </w:r>
      <w:proofErr w:type="gramEnd"/>
      <w:r w:rsidRPr="002573EA">
        <w:rPr>
          <w:rFonts w:ascii="宋体" w:hAnsi="宋体" w:hint="eastAsia"/>
        </w:rPr>
        <w:t>覆盖</w:t>
      </w:r>
      <w:r w:rsidRPr="002573EA">
        <w:rPr>
          <w:rFonts w:ascii="宋体" w:hAnsi="宋体"/>
        </w:rPr>
        <w:t>5</w:t>
      </w:r>
      <w:r w:rsidRPr="002573EA">
        <w:rPr>
          <w:rFonts w:ascii="宋体" w:hAnsi="宋体" w:hint="eastAsia"/>
        </w:rPr>
        <w:t>只股票。</w:t>
      </w:r>
    </w:p>
    <w:p w:rsidR="00957DEF" w:rsidRPr="002573EA" w:rsidRDefault="00957DEF" w:rsidP="00957DEF">
      <w:pPr>
        <w:widowControl/>
        <w:ind w:leftChars="221" w:left="506" w:hangingChars="20" w:hanging="42"/>
        <w:jc w:val="left"/>
        <w:rPr>
          <w:rFonts w:ascii="宋体" w:hAnsi="宋体"/>
        </w:rPr>
      </w:pPr>
      <w:r w:rsidRPr="002573EA">
        <w:rPr>
          <w:rFonts w:ascii="宋体" w:hAnsi="宋体" w:hint="eastAsia"/>
        </w:rPr>
        <w:t>2、分析师在参评期内的报告高于该行业分析</w:t>
      </w:r>
      <w:proofErr w:type="gramStart"/>
      <w:r w:rsidRPr="002573EA">
        <w:rPr>
          <w:rFonts w:ascii="宋体" w:hAnsi="宋体" w:hint="eastAsia"/>
        </w:rPr>
        <w:t>师人均</w:t>
      </w:r>
      <w:proofErr w:type="gramEnd"/>
      <w:r w:rsidRPr="002573EA">
        <w:rPr>
          <w:rFonts w:ascii="宋体" w:hAnsi="宋体" w:hint="eastAsia"/>
        </w:rPr>
        <w:t>报告数的80%。</w:t>
      </w:r>
    </w:p>
    <w:p w:rsidR="00957DEF" w:rsidRPr="002573EA" w:rsidRDefault="00957DEF" w:rsidP="00362602">
      <w:pPr>
        <w:widowControl/>
        <w:ind w:leftChars="221" w:left="506" w:hangingChars="20" w:hanging="42"/>
        <w:jc w:val="left"/>
        <w:rPr>
          <w:rFonts w:ascii="宋体" w:hAnsi="宋体"/>
        </w:rPr>
      </w:pPr>
      <w:r w:rsidRPr="002573EA">
        <w:rPr>
          <w:rFonts w:ascii="宋体" w:hAnsi="宋体" w:hint="eastAsia"/>
        </w:rPr>
        <w:t>3、获奖分析师最终的超额收益必须为正。</w:t>
      </w:r>
    </w:p>
    <w:p w:rsidR="00957DEF" w:rsidRPr="002573EA" w:rsidRDefault="00957DEF" w:rsidP="004E1080">
      <w:pPr>
        <w:widowControl/>
        <w:spacing w:beforeLines="100"/>
        <w:jc w:val="left"/>
        <w:rPr>
          <w:rFonts w:ascii="宋体" w:hAnsi="宋体"/>
          <w:b/>
        </w:rPr>
      </w:pPr>
      <w:r w:rsidRPr="002573EA">
        <w:rPr>
          <w:rFonts w:ascii="宋体" w:hAnsi="宋体"/>
          <w:b/>
        </w:rPr>
        <w:t xml:space="preserve">5.2 </w:t>
      </w:r>
      <w:r w:rsidR="004E1080">
        <w:rPr>
          <w:rFonts w:ascii="宋体" w:hAnsi="宋体" w:hint="eastAsia"/>
          <w:b/>
        </w:rPr>
        <w:t>行业盈利预测最准</w:t>
      </w:r>
      <w:r w:rsidRPr="002573EA">
        <w:rPr>
          <w:rFonts w:ascii="宋体" w:hAnsi="宋体" w:hint="eastAsia"/>
          <w:b/>
        </w:rPr>
        <w:t>分析师</w:t>
      </w:r>
    </w:p>
    <w:p w:rsidR="00957DEF" w:rsidRPr="002573EA" w:rsidRDefault="00957DEF" w:rsidP="004E1080">
      <w:pPr>
        <w:spacing w:beforeLines="50"/>
        <w:ind w:firstLineChars="200" w:firstLine="420"/>
        <w:rPr>
          <w:rFonts w:ascii="宋体" w:hAnsi="宋体"/>
          <w:szCs w:val="21"/>
        </w:rPr>
      </w:pPr>
      <w:r w:rsidRPr="002573EA">
        <w:rPr>
          <w:rFonts w:ascii="宋体" w:hAnsi="宋体" w:hint="eastAsia"/>
          <w:szCs w:val="21"/>
        </w:rPr>
        <w:t>评价盈利预测准确性的基本指标为相对误差率，即盈利预测误差与盈利公布值的百分比率。在排名过程中，我们采取百分制打分，</w:t>
      </w:r>
      <w:r w:rsidRPr="002573EA">
        <w:rPr>
          <w:rFonts w:ascii="宋体" w:hAnsi="宋体"/>
          <w:szCs w:val="21"/>
        </w:rPr>
        <w:t>50</w:t>
      </w:r>
      <w:r w:rsidRPr="002573EA">
        <w:rPr>
          <w:rFonts w:ascii="宋体" w:hAnsi="宋体" w:hint="eastAsia"/>
          <w:szCs w:val="21"/>
        </w:rPr>
        <w:t>分相当于平均水平。我们在进行盈利预测准确性评比的时候考虑了多种因素：分析师的盈利预测误差、分析师与同行的比较、分析师误差的标准差、盈利预测的给出时间、盈利公布值的绝对值大小。每天计算盈利预测的准确性得分，年度按均值进行排名（</w:t>
      </w:r>
      <w:r w:rsidRPr="002573EA">
        <w:rPr>
          <w:rFonts w:ascii="宋体" w:hAnsi="宋体"/>
          <w:szCs w:val="21"/>
        </w:rPr>
        <w:t>1</w:t>
      </w:r>
      <w:r w:rsidRPr="002573EA">
        <w:rPr>
          <w:rFonts w:ascii="宋体" w:hAnsi="宋体" w:hint="eastAsia"/>
          <w:szCs w:val="21"/>
        </w:rPr>
        <w:t>年内累计不得超过</w:t>
      </w:r>
      <w:r w:rsidRPr="002573EA">
        <w:rPr>
          <w:rFonts w:ascii="宋体" w:hAnsi="宋体"/>
          <w:szCs w:val="21"/>
        </w:rPr>
        <w:t>4</w:t>
      </w:r>
      <w:r w:rsidRPr="002573EA">
        <w:rPr>
          <w:rFonts w:ascii="宋体" w:hAnsi="宋体" w:hint="eastAsia"/>
          <w:szCs w:val="21"/>
        </w:rPr>
        <w:t>个月没有单日得分）并打分，得到分析师的行业盈利预测准确性得分。</w:t>
      </w:r>
    </w:p>
    <w:p w:rsidR="00957DEF" w:rsidRPr="00362602" w:rsidRDefault="00957DEF" w:rsidP="004E1080">
      <w:pPr>
        <w:spacing w:beforeLines="50"/>
        <w:ind w:firstLine="420"/>
        <w:rPr>
          <w:rFonts w:ascii="宋体" w:hAnsi="宋体"/>
          <w:szCs w:val="21"/>
        </w:rPr>
      </w:pPr>
      <w:r w:rsidRPr="002573EA">
        <w:rPr>
          <w:rFonts w:ascii="宋体" w:hAnsi="宋体" w:hint="eastAsia"/>
          <w:szCs w:val="21"/>
        </w:rPr>
        <w:t>根据年度的盈利预测准确性得分，选出每个行业的前三名。</w:t>
      </w:r>
    </w:p>
    <w:p w:rsidR="00957DEF" w:rsidRPr="002573EA" w:rsidRDefault="00957DEF" w:rsidP="004E1080">
      <w:pPr>
        <w:spacing w:beforeLines="100"/>
        <w:rPr>
          <w:rFonts w:ascii="宋体" w:hAnsi="宋体"/>
          <w:szCs w:val="21"/>
        </w:rPr>
      </w:pPr>
      <w:r w:rsidRPr="002573EA">
        <w:rPr>
          <w:rFonts w:ascii="宋体" w:hAnsi="宋体" w:hint="eastAsia"/>
          <w:szCs w:val="21"/>
        </w:rPr>
        <w:t>门槛设置：</w:t>
      </w:r>
    </w:p>
    <w:p w:rsidR="00957DEF" w:rsidRPr="002573EA" w:rsidRDefault="00957DEF" w:rsidP="00957DEF">
      <w:pPr>
        <w:numPr>
          <w:ilvl w:val="0"/>
          <w:numId w:val="2"/>
        </w:numPr>
        <w:rPr>
          <w:rFonts w:ascii="宋体" w:hAnsi="宋体"/>
          <w:szCs w:val="21"/>
        </w:rPr>
      </w:pPr>
      <w:r w:rsidRPr="002573EA">
        <w:rPr>
          <w:rFonts w:ascii="宋体" w:hAnsi="宋体" w:hint="eastAsia"/>
          <w:szCs w:val="21"/>
        </w:rPr>
        <w:t>单个分析师评比时段内至少跟踪了</w:t>
      </w:r>
      <w:r w:rsidRPr="002573EA">
        <w:rPr>
          <w:rFonts w:ascii="宋体" w:hAnsi="宋体"/>
          <w:szCs w:val="21"/>
        </w:rPr>
        <w:t>5</w:t>
      </w:r>
      <w:r w:rsidRPr="002573EA">
        <w:rPr>
          <w:rFonts w:ascii="宋体" w:hAnsi="宋体" w:hint="eastAsia"/>
          <w:szCs w:val="21"/>
        </w:rPr>
        <w:t>只股票。</w:t>
      </w:r>
    </w:p>
    <w:p w:rsidR="00957DEF" w:rsidRPr="00362602" w:rsidRDefault="00957DEF" w:rsidP="00362602">
      <w:pPr>
        <w:numPr>
          <w:ilvl w:val="0"/>
          <w:numId w:val="2"/>
        </w:numPr>
        <w:rPr>
          <w:rFonts w:ascii="宋体" w:hAnsi="宋体"/>
          <w:szCs w:val="21"/>
        </w:rPr>
      </w:pPr>
      <w:r w:rsidRPr="002573EA">
        <w:rPr>
          <w:rFonts w:ascii="宋体" w:hAnsi="宋体" w:hint="eastAsia"/>
        </w:rPr>
        <w:t>分析师在参评期内的报告高于该行业分析</w:t>
      </w:r>
      <w:proofErr w:type="gramStart"/>
      <w:r w:rsidRPr="002573EA">
        <w:rPr>
          <w:rFonts w:ascii="宋体" w:hAnsi="宋体" w:hint="eastAsia"/>
        </w:rPr>
        <w:t>师人均</w:t>
      </w:r>
      <w:proofErr w:type="gramEnd"/>
      <w:r w:rsidRPr="002573EA">
        <w:rPr>
          <w:rFonts w:ascii="宋体" w:hAnsi="宋体" w:hint="eastAsia"/>
        </w:rPr>
        <w:t>报告数的80%。</w:t>
      </w:r>
    </w:p>
    <w:p w:rsidR="00957DEF" w:rsidRPr="002573EA" w:rsidRDefault="00957DEF" w:rsidP="004E1080">
      <w:pPr>
        <w:widowControl/>
        <w:spacing w:beforeLines="100"/>
        <w:jc w:val="left"/>
        <w:rPr>
          <w:rFonts w:ascii="宋体" w:hAnsi="宋体"/>
          <w:b/>
        </w:rPr>
      </w:pPr>
      <w:r w:rsidRPr="002573EA">
        <w:rPr>
          <w:rFonts w:ascii="宋体" w:hAnsi="宋体"/>
          <w:b/>
        </w:rPr>
        <w:t xml:space="preserve">5.3 </w:t>
      </w:r>
      <w:r w:rsidRPr="002573EA">
        <w:rPr>
          <w:rFonts w:ascii="宋体" w:hAnsi="宋体" w:hint="eastAsia"/>
          <w:b/>
        </w:rPr>
        <w:t>年度明星分析师</w:t>
      </w:r>
    </w:p>
    <w:p w:rsidR="00957DEF" w:rsidRPr="002573EA" w:rsidRDefault="00957DEF" w:rsidP="004E1080">
      <w:pPr>
        <w:spacing w:beforeLines="50"/>
        <w:ind w:firstLine="420"/>
        <w:rPr>
          <w:rFonts w:ascii="宋体" w:hAnsi="宋体"/>
          <w:szCs w:val="21"/>
        </w:rPr>
      </w:pPr>
      <w:r w:rsidRPr="002573EA">
        <w:rPr>
          <w:rFonts w:ascii="宋体" w:hAnsi="宋体" w:hint="eastAsia"/>
          <w:szCs w:val="21"/>
        </w:rPr>
        <w:t>（</w:t>
      </w:r>
      <w:r w:rsidRPr="002573EA">
        <w:rPr>
          <w:rFonts w:ascii="宋体" w:hAnsi="宋体"/>
          <w:szCs w:val="21"/>
        </w:rPr>
        <w:t>1</w:t>
      </w:r>
      <w:r w:rsidRPr="002573EA">
        <w:rPr>
          <w:rFonts w:ascii="宋体" w:hAnsi="宋体" w:hint="eastAsia"/>
          <w:szCs w:val="21"/>
        </w:rPr>
        <w:t>）计算出有三个以上分析师进行过投资评级或盈利预测的</w:t>
      </w:r>
      <w:r w:rsidRPr="002573EA">
        <w:rPr>
          <w:rFonts w:ascii="宋体" w:hAnsi="宋体"/>
          <w:szCs w:val="21"/>
        </w:rPr>
        <w:t>T-</w:t>
      </w:r>
      <w:proofErr w:type="gramStart"/>
      <w:r w:rsidRPr="002573EA">
        <w:rPr>
          <w:rFonts w:ascii="宋体" w:hAnsi="宋体"/>
          <w:szCs w:val="21"/>
        </w:rPr>
        <w:t>1</w:t>
      </w:r>
      <w:proofErr w:type="gramEnd"/>
      <w:r w:rsidRPr="002573EA">
        <w:rPr>
          <w:rFonts w:ascii="宋体" w:hAnsi="宋体" w:hint="eastAsia"/>
          <w:szCs w:val="21"/>
        </w:rPr>
        <w:t>年度市场回报率前</w:t>
      </w:r>
      <w:r w:rsidRPr="002573EA">
        <w:rPr>
          <w:rFonts w:ascii="宋体" w:hAnsi="宋体"/>
          <w:szCs w:val="21"/>
        </w:rPr>
        <w:t>50</w:t>
      </w:r>
      <w:r w:rsidRPr="002573EA">
        <w:rPr>
          <w:rFonts w:ascii="宋体" w:hAnsi="宋体" w:hint="eastAsia"/>
          <w:szCs w:val="21"/>
        </w:rPr>
        <w:t>名的股票；</w:t>
      </w:r>
    </w:p>
    <w:p w:rsidR="00957DEF" w:rsidRPr="002573EA" w:rsidRDefault="00957DEF" w:rsidP="00362602">
      <w:pPr>
        <w:ind w:firstLine="420"/>
        <w:rPr>
          <w:rFonts w:ascii="宋体" w:hAnsi="宋体"/>
          <w:szCs w:val="21"/>
        </w:rPr>
      </w:pPr>
      <w:r w:rsidRPr="002573EA">
        <w:rPr>
          <w:rFonts w:ascii="宋体" w:hAnsi="宋体" w:hint="eastAsia"/>
          <w:szCs w:val="21"/>
        </w:rPr>
        <w:t>（</w:t>
      </w:r>
      <w:r w:rsidRPr="002573EA">
        <w:rPr>
          <w:rFonts w:ascii="宋体" w:hAnsi="宋体"/>
          <w:szCs w:val="21"/>
        </w:rPr>
        <w:t>2</w:t>
      </w:r>
      <w:r w:rsidRPr="002573EA">
        <w:rPr>
          <w:rFonts w:ascii="宋体" w:hAnsi="宋体" w:hint="eastAsia"/>
          <w:szCs w:val="21"/>
        </w:rPr>
        <w:t>）分析师的挑选范围为对以上股票进行过投资评级或盈利预测；</w:t>
      </w:r>
    </w:p>
    <w:p w:rsidR="00957DEF" w:rsidRPr="002573EA" w:rsidRDefault="00957DEF" w:rsidP="00362602">
      <w:pPr>
        <w:ind w:firstLine="420"/>
        <w:rPr>
          <w:rFonts w:ascii="宋体" w:hAnsi="宋体"/>
          <w:szCs w:val="21"/>
        </w:rPr>
      </w:pPr>
      <w:r w:rsidRPr="002573EA">
        <w:rPr>
          <w:rFonts w:ascii="宋体" w:hAnsi="宋体" w:hint="eastAsia"/>
          <w:szCs w:val="21"/>
        </w:rPr>
        <w:t>（</w:t>
      </w:r>
      <w:r w:rsidRPr="002573EA">
        <w:rPr>
          <w:rFonts w:ascii="宋体" w:hAnsi="宋体"/>
          <w:szCs w:val="21"/>
        </w:rPr>
        <w:t>3</w:t>
      </w:r>
      <w:r w:rsidRPr="002573EA">
        <w:rPr>
          <w:rFonts w:ascii="宋体" w:hAnsi="宋体" w:hint="eastAsia"/>
          <w:szCs w:val="21"/>
        </w:rPr>
        <w:t>）在确定（</w:t>
      </w:r>
      <w:r w:rsidRPr="002573EA">
        <w:rPr>
          <w:rFonts w:ascii="宋体" w:hAnsi="宋体"/>
          <w:szCs w:val="21"/>
        </w:rPr>
        <w:t>1</w:t>
      </w:r>
      <w:r w:rsidRPr="002573EA">
        <w:rPr>
          <w:rFonts w:ascii="宋体" w:hAnsi="宋体" w:hint="eastAsia"/>
          <w:szCs w:val="21"/>
        </w:rPr>
        <w:t>）（</w:t>
      </w:r>
      <w:r w:rsidRPr="002573EA">
        <w:rPr>
          <w:rFonts w:ascii="宋体" w:hAnsi="宋体"/>
          <w:szCs w:val="21"/>
        </w:rPr>
        <w:t>2</w:t>
      </w:r>
      <w:r w:rsidRPr="002573EA">
        <w:rPr>
          <w:rFonts w:ascii="宋体" w:hAnsi="宋体" w:hint="eastAsia"/>
          <w:szCs w:val="21"/>
        </w:rPr>
        <w:t>）的条件下，首先计算投资评级单项得分</w:t>
      </w:r>
      <w:r w:rsidRPr="002573EA">
        <w:rPr>
          <w:rFonts w:ascii="宋体" w:hAnsi="宋体"/>
          <w:szCs w:val="21"/>
        </w:rPr>
        <w:t>A</w:t>
      </w:r>
      <w:r w:rsidRPr="002573EA">
        <w:rPr>
          <w:rFonts w:ascii="宋体" w:hAnsi="宋体" w:hint="eastAsia"/>
          <w:szCs w:val="21"/>
        </w:rPr>
        <w:t>（算法同</w:t>
      </w:r>
      <w:r w:rsidRPr="002573EA">
        <w:rPr>
          <w:rFonts w:ascii="宋体" w:hAnsi="宋体"/>
          <w:szCs w:val="21"/>
        </w:rPr>
        <w:t>5.1</w:t>
      </w:r>
      <w:r w:rsidRPr="002573EA">
        <w:rPr>
          <w:rFonts w:ascii="宋体" w:hAnsi="宋体" w:hint="eastAsia"/>
          <w:szCs w:val="21"/>
        </w:rPr>
        <w:t>）和盈利预测单项得分</w:t>
      </w:r>
      <w:r w:rsidRPr="002573EA">
        <w:rPr>
          <w:rFonts w:ascii="宋体" w:hAnsi="宋体"/>
          <w:szCs w:val="21"/>
        </w:rPr>
        <w:t>B</w:t>
      </w:r>
      <w:r w:rsidRPr="002573EA">
        <w:rPr>
          <w:rFonts w:ascii="宋体" w:hAnsi="宋体" w:hint="eastAsia"/>
          <w:szCs w:val="21"/>
        </w:rPr>
        <w:t>（算法同</w:t>
      </w:r>
      <w:r w:rsidRPr="002573EA">
        <w:rPr>
          <w:rFonts w:ascii="宋体" w:hAnsi="宋体"/>
          <w:szCs w:val="21"/>
        </w:rPr>
        <w:t>5.2</w:t>
      </w:r>
      <w:r w:rsidRPr="002573EA">
        <w:rPr>
          <w:rFonts w:ascii="宋体" w:hAnsi="宋体" w:hint="eastAsia"/>
          <w:szCs w:val="21"/>
        </w:rPr>
        <w:t>）；</w:t>
      </w:r>
    </w:p>
    <w:p w:rsidR="00957DEF" w:rsidRPr="002573EA" w:rsidRDefault="00957DEF" w:rsidP="00362602">
      <w:pPr>
        <w:ind w:firstLine="420"/>
        <w:rPr>
          <w:rFonts w:ascii="宋体" w:hAnsi="宋体"/>
          <w:szCs w:val="21"/>
        </w:rPr>
      </w:pPr>
      <w:r w:rsidRPr="002573EA">
        <w:rPr>
          <w:rFonts w:ascii="宋体" w:hAnsi="宋体" w:hint="eastAsia"/>
          <w:szCs w:val="21"/>
        </w:rPr>
        <w:t>（</w:t>
      </w:r>
      <w:r w:rsidRPr="002573EA">
        <w:rPr>
          <w:rFonts w:ascii="宋体" w:hAnsi="宋体"/>
          <w:szCs w:val="21"/>
        </w:rPr>
        <w:t>4</w:t>
      </w:r>
      <w:r w:rsidRPr="002573EA">
        <w:rPr>
          <w:rFonts w:ascii="宋体" w:hAnsi="宋体" w:hint="eastAsia"/>
          <w:szCs w:val="21"/>
        </w:rPr>
        <w:t>）计算明星分析</w:t>
      </w:r>
      <w:proofErr w:type="gramStart"/>
      <w:r w:rsidRPr="002573EA">
        <w:rPr>
          <w:rFonts w:ascii="宋体" w:hAnsi="宋体" w:hint="eastAsia"/>
          <w:szCs w:val="21"/>
        </w:rPr>
        <w:t>师综合</w:t>
      </w:r>
      <w:proofErr w:type="gramEnd"/>
      <w:r w:rsidRPr="002573EA">
        <w:rPr>
          <w:rFonts w:ascii="宋体" w:hAnsi="宋体" w:hint="eastAsia"/>
          <w:szCs w:val="21"/>
        </w:rPr>
        <w:t>得分</w:t>
      </w:r>
      <w:r w:rsidRPr="002573EA">
        <w:rPr>
          <w:rFonts w:ascii="宋体" w:hAnsi="宋体"/>
          <w:szCs w:val="21"/>
        </w:rPr>
        <w:t>C=A*2/3+B*1/3</w:t>
      </w:r>
      <w:r w:rsidRPr="002573EA">
        <w:rPr>
          <w:rFonts w:ascii="宋体" w:hAnsi="宋体" w:hint="eastAsia"/>
          <w:szCs w:val="21"/>
        </w:rPr>
        <w:t>，即综合得分为投资评级单项得分与盈利预测单项得分的加权平均得分，权重分别为</w:t>
      </w:r>
      <w:r w:rsidRPr="002573EA">
        <w:rPr>
          <w:rFonts w:ascii="宋体" w:hAnsi="宋体"/>
          <w:szCs w:val="21"/>
        </w:rPr>
        <w:t>2/3</w:t>
      </w:r>
      <w:r w:rsidRPr="002573EA">
        <w:rPr>
          <w:rFonts w:ascii="宋体" w:hAnsi="宋体" w:hint="eastAsia"/>
          <w:szCs w:val="21"/>
        </w:rPr>
        <w:t>和</w:t>
      </w:r>
      <w:r w:rsidRPr="002573EA">
        <w:rPr>
          <w:rFonts w:ascii="宋体" w:hAnsi="宋体"/>
          <w:szCs w:val="21"/>
        </w:rPr>
        <w:t>1/3</w:t>
      </w:r>
      <w:r w:rsidRPr="002573EA">
        <w:rPr>
          <w:rFonts w:ascii="宋体" w:hAnsi="宋体" w:hint="eastAsia"/>
          <w:szCs w:val="21"/>
        </w:rPr>
        <w:t>；</w:t>
      </w:r>
    </w:p>
    <w:p w:rsidR="00957DEF" w:rsidRPr="002573EA" w:rsidRDefault="00957DEF" w:rsidP="00362602">
      <w:pPr>
        <w:ind w:firstLine="420"/>
        <w:rPr>
          <w:rFonts w:ascii="宋体" w:hAnsi="宋体"/>
          <w:szCs w:val="21"/>
        </w:rPr>
      </w:pPr>
      <w:r w:rsidRPr="002573EA">
        <w:rPr>
          <w:rFonts w:ascii="宋体" w:hAnsi="宋体" w:hint="eastAsia"/>
          <w:szCs w:val="21"/>
        </w:rPr>
        <w:t>（</w:t>
      </w:r>
      <w:r w:rsidRPr="002573EA">
        <w:rPr>
          <w:rFonts w:ascii="宋体" w:hAnsi="宋体"/>
          <w:szCs w:val="21"/>
        </w:rPr>
        <w:t>5</w:t>
      </w:r>
      <w:r w:rsidRPr="002573EA">
        <w:rPr>
          <w:rFonts w:ascii="宋体" w:hAnsi="宋体" w:hint="eastAsia"/>
          <w:szCs w:val="21"/>
        </w:rPr>
        <w:t>）根据综合得分进行排序，取前</w:t>
      </w:r>
      <w:r w:rsidRPr="002573EA">
        <w:rPr>
          <w:rFonts w:ascii="宋体" w:hAnsi="宋体"/>
          <w:szCs w:val="21"/>
        </w:rPr>
        <w:t>10</w:t>
      </w:r>
      <w:r w:rsidRPr="002573EA">
        <w:rPr>
          <w:rFonts w:ascii="宋体" w:hAnsi="宋体" w:hint="eastAsia"/>
          <w:szCs w:val="21"/>
        </w:rPr>
        <w:t>名作为明星分析师。</w:t>
      </w:r>
    </w:p>
    <w:p w:rsidR="00957DEF" w:rsidRPr="002573EA" w:rsidRDefault="00957DEF" w:rsidP="004E1080">
      <w:pPr>
        <w:widowControl/>
        <w:spacing w:beforeLines="100"/>
        <w:jc w:val="left"/>
        <w:rPr>
          <w:rFonts w:ascii="宋体" w:hAnsi="宋体"/>
          <w:b/>
        </w:rPr>
      </w:pPr>
      <w:r w:rsidRPr="002573EA">
        <w:rPr>
          <w:rFonts w:ascii="宋体" w:hAnsi="宋体"/>
          <w:b/>
        </w:rPr>
        <w:t xml:space="preserve">5.4 </w:t>
      </w:r>
      <w:r w:rsidRPr="002573EA">
        <w:rPr>
          <w:rFonts w:ascii="宋体" w:hAnsi="宋体" w:hint="eastAsia"/>
          <w:b/>
        </w:rPr>
        <w:t>最佳独立见解分析师</w:t>
      </w:r>
    </w:p>
    <w:p w:rsidR="00957DEF" w:rsidRPr="002573EA" w:rsidRDefault="00957DEF" w:rsidP="004E1080">
      <w:pPr>
        <w:spacing w:beforeLines="50"/>
        <w:ind w:firstLine="420"/>
        <w:rPr>
          <w:rFonts w:ascii="宋体" w:hAnsi="宋体"/>
          <w:szCs w:val="21"/>
        </w:rPr>
      </w:pPr>
      <w:r w:rsidRPr="002573EA">
        <w:rPr>
          <w:rFonts w:ascii="宋体" w:hAnsi="宋体" w:hint="eastAsia"/>
          <w:szCs w:val="21"/>
        </w:rPr>
        <w:t>（</w:t>
      </w:r>
      <w:r w:rsidRPr="002573EA">
        <w:rPr>
          <w:rFonts w:ascii="宋体" w:hAnsi="宋体"/>
          <w:szCs w:val="21"/>
        </w:rPr>
        <w:t>1</w:t>
      </w:r>
      <w:r w:rsidRPr="002573EA">
        <w:rPr>
          <w:rFonts w:ascii="宋体" w:hAnsi="宋体" w:hint="eastAsia"/>
          <w:szCs w:val="21"/>
        </w:rPr>
        <w:t>）将每只股票从</w:t>
      </w:r>
      <w:r w:rsidRPr="002573EA">
        <w:rPr>
          <w:rFonts w:ascii="宋体" w:hAnsi="宋体"/>
          <w:szCs w:val="21"/>
        </w:rPr>
        <w:t>T-1</w:t>
      </w:r>
      <w:r w:rsidRPr="002573EA">
        <w:rPr>
          <w:rFonts w:ascii="宋体" w:hAnsi="宋体" w:hint="eastAsia"/>
          <w:szCs w:val="21"/>
        </w:rPr>
        <w:t>年</w:t>
      </w:r>
      <w:r w:rsidRPr="002573EA">
        <w:rPr>
          <w:rFonts w:ascii="宋体" w:hAnsi="宋体"/>
          <w:szCs w:val="21"/>
        </w:rPr>
        <w:t>1</w:t>
      </w:r>
      <w:r w:rsidRPr="002573EA">
        <w:rPr>
          <w:rFonts w:ascii="宋体" w:hAnsi="宋体" w:hint="eastAsia"/>
          <w:szCs w:val="21"/>
        </w:rPr>
        <w:t>月</w:t>
      </w:r>
      <w:r w:rsidRPr="002573EA">
        <w:rPr>
          <w:rFonts w:ascii="宋体" w:hAnsi="宋体"/>
          <w:szCs w:val="21"/>
        </w:rPr>
        <w:t>1</w:t>
      </w:r>
      <w:r w:rsidRPr="002573EA">
        <w:rPr>
          <w:rFonts w:ascii="宋体" w:hAnsi="宋体" w:hint="eastAsia"/>
          <w:szCs w:val="21"/>
        </w:rPr>
        <w:t>日最早开始进行投资评级的</w:t>
      </w:r>
      <w:r w:rsidRPr="002573EA">
        <w:rPr>
          <w:rFonts w:ascii="宋体" w:hAnsi="宋体"/>
          <w:szCs w:val="21"/>
        </w:rPr>
        <w:t xml:space="preserve"> </w:t>
      </w:r>
      <w:r w:rsidRPr="002573EA">
        <w:rPr>
          <w:rFonts w:ascii="宋体" w:hAnsi="宋体" w:hint="eastAsia"/>
          <w:szCs w:val="21"/>
        </w:rPr>
        <w:t>“强力买入”、“买入”、“适度减持”、“卖出”且“当前状态”（最近60天）仅有</w:t>
      </w:r>
      <w:r w:rsidRPr="002573EA">
        <w:rPr>
          <w:rFonts w:ascii="宋体" w:hAnsi="宋体"/>
          <w:szCs w:val="21"/>
        </w:rPr>
        <w:t>1</w:t>
      </w:r>
      <w:r w:rsidRPr="002573EA">
        <w:rPr>
          <w:rFonts w:ascii="宋体" w:hAnsi="宋体" w:hint="eastAsia"/>
          <w:szCs w:val="21"/>
        </w:rPr>
        <w:t>名分析师的评级点及分析师找出；</w:t>
      </w:r>
    </w:p>
    <w:p w:rsidR="00957DEF" w:rsidRPr="00362602" w:rsidRDefault="00957DEF" w:rsidP="00362602">
      <w:pPr>
        <w:ind w:firstLine="420"/>
        <w:rPr>
          <w:rFonts w:ascii="宋体" w:hAnsi="宋体"/>
          <w:szCs w:val="21"/>
        </w:rPr>
      </w:pPr>
      <w:r w:rsidRPr="002573EA">
        <w:rPr>
          <w:rFonts w:ascii="宋体" w:hAnsi="宋体" w:hint="eastAsia"/>
          <w:szCs w:val="21"/>
        </w:rPr>
        <w:t>（</w:t>
      </w:r>
      <w:r w:rsidRPr="002573EA">
        <w:rPr>
          <w:rFonts w:ascii="宋体" w:hAnsi="宋体"/>
          <w:szCs w:val="21"/>
        </w:rPr>
        <w:t>2</w:t>
      </w:r>
      <w:r w:rsidRPr="002573EA">
        <w:rPr>
          <w:rFonts w:ascii="宋体" w:hAnsi="宋体" w:hint="eastAsia"/>
          <w:szCs w:val="21"/>
        </w:rPr>
        <w:t>）从挑选出来的这一点的当日的该股票的收盘价作为起点，6个月后（不超过</w:t>
      </w:r>
      <w:r w:rsidRPr="002573EA">
        <w:rPr>
          <w:rFonts w:ascii="宋体" w:hAnsi="宋体"/>
          <w:szCs w:val="21"/>
        </w:rPr>
        <w:t>T-1</w:t>
      </w:r>
      <w:r w:rsidRPr="002573EA">
        <w:rPr>
          <w:rFonts w:ascii="宋体" w:hAnsi="宋体" w:hint="eastAsia"/>
          <w:szCs w:val="21"/>
        </w:rPr>
        <w:t>年</w:t>
      </w:r>
      <w:r w:rsidRPr="002573EA">
        <w:rPr>
          <w:rFonts w:ascii="宋体" w:hAnsi="宋体"/>
          <w:szCs w:val="21"/>
        </w:rPr>
        <w:t>12</w:t>
      </w:r>
      <w:r w:rsidRPr="002573EA">
        <w:rPr>
          <w:rFonts w:ascii="宋体" w:hAnsi="宋体" w:hint="eastAsia"/>
          <w:szCs w:val="21"/>
        </w:rPr>
        <w:t>月</w:t>
      </w:r>
      <w:r w:rsidRPr="002573EA">
        <w:rPr>
          <w:rFonts w:ascii="宋体" w:hAnsi="宋体"/>
          <w:szCs w:val="21"/>
        </w:rPr>
        <w:t>31</w:t>
      </w:r>
      <w:r w:rsidRPr="002573EA">
        <w:rPr>
          <w:rFonts w:ascii="宋体" w:hAnsi="宋体" w:hint="eastAsia"/>
          <w:szCs w:val="21"/>
        </w:rPr>
        <w:t>日）的收盘价作为终点进行超额回报率计算，计算方法同</w:t>
      </w:r>
      <w:r w:rsidRPr="002573EA">
        <w:rPr>
          <w:rFonts w:ascii="宋体" w:hAnsi="宋体"/>
          <w:szCs w:val="21"/>
        </w:rPr>
        <w:t>5.1</w:t>
      </w:r>
      <w:r w:rsidRPr="002573EA">
        <w:rPr>
          <w:rFonts w:ascii="宋体" w:hAnsi="宋体" w:hint="eastAsia"/>
          <w:szCs w:val="21"/>
        </w:rPr>
        <w:t>。按最终得到的超额收益率进行排名，超额收益率最大的前</w:t>
      </w:r>
      <w:r w:rsidRPr="002573EA">
        <w:rPr>
          <w:rFonts w:ascii="宋体" w:hAnsi="宋体"/>
          <w:szCs w:val="21"/>
        </w:rPr>
        <w:t>10</w:t>
      </w:r>
      <w:r w:rsidRPr="002573EA">
        <w:rPr>
          <w:rFonts w:ascii="宋体" w:hAnsi="宋体" w:hint="eastAsia"/>
          <w:szCs w:val="21"/>
        </w:rPr>
        <w:t>名分析师作为最佳独立见解分析师（允许并列排名）。</w:t>
      </w:r>
    </w:p>
    <w:p w:rsidR="00957DEF" w:rsidRPr="002573EA" w:rsidRDefault="00957DEF" w:rsidP="004E1080">
      <w:pPr>
        <w:spacing w:beforeLines="100"/>
        <w:rPr>
          <w:rFonts w:ascii="宋体" w:hAnsi="宋体"/>
          <w:b/>
        </w:rPr>
      </w:pPr>
      <w:r w:rsidRPr="002573EA">
        <w:rPr>
          <w:rFonts w:ascii="宋体" w:hAnsi="宋体" w:hint="eastAsia"/>
          <w:b/>
        </w:rPr>
        <w:t>5.5 连续三年、五年的五星级分析师</w:t>
      </w:r>
    </w:p>
    <w:p w:rsidR="00957DEF" w:rsidRPr="002573EA" w:rsidRDefault="00957DEF" w:rsidP="004E1080">
      <w:pPr>
        <w:spacing w:beforeLines="100"/>
        <w:ind w:firstLineChars="200" w:firstLine="420"/>
        <w:rPr>
          <w:rFonts w:ascii="宋体" w:hAnsi="宋体"/>
        </w:rPr>
      </w:pPr>
      <w:r w:rsidRPr="002573EA">
        <w:rPr>
          <w:rFonts w:ascii="宋体" w:hAnsi="宋体" w:hint="eastAsia"/>
        </w:rPr>
        <w:lastRenderedPageBreak/>
        <w:t>（1）分析师星级每年年度评选时计算一次（每年的</w:t>
      </w:r>
      <w:smartTag w:uri="urn:schemas-microsoft-com:office:smarttags" w:element="chsdate">
        <w:smartTagPr>
          <w:attr w:name="Year" w:val="2013"/>
          <w:attr w:name="Month" w:val="12"/>
          <w:attr w:name="Day" w:val="31"/>
          <w:attr w:name="IsLunarDate" w:val="False"/>
          <w:attr w:name="IsROCDate" w:val="False"/>
        </w:smartTagPr>
        <w:r w:rsidRPr="002573EA">
          <w:rPr>
            <w:rFonts w:ascii="宋体" w:hAnsi="宋体" w:hint="eastAsia"/>
          </w:rPr>
          <w:t>12月31日</w:t>
        </w:r>
      </w:smartTag>
      <w:r w:rsidRPr="002573EA">
        <w:rPr>
          <w:rFonts w:ascii="宋体" w:hAnsi="宋体" w:hint="eastAsia"/>
        </w:rPr>
        <w:t>），并保持一年不变；</w:t>
      </w:r>
    </w:p>
    <w:p w:rsidR="00957DEF" w:rsidRPr="002573EA" w:rsidRDefault="00957DEF" w:rsidP="00362602">
      <w:pPr>
        <w:ind w:firstLineChars="200" w:firstLine="420"/>
        <w:rPr>
          <w:rFonts w:ascii="宋体" w:hAnsi="宋体"/>
        </w:rPr>
      </w:pPr>
      <w:r w:rsidRPr="002573EA">
        <w:rPr>
          <w:rFonts w:ascii="宋体" w:hAnsi="宋体" w:hint="eastAsia"/>
        </w:rPr>
        <w:t>（2）分析师星级的计算依据投资评级收益得分和盈利预测准确性的得分。投资评级的收益得分权重为2/3，盈利预测准确性得分权重为1/3；</w:t>
      </w:r>
    </w:p>
    <w:p w:rsidR="00957DEF" w:rsidRPr="002573EA" w:rsidRDefault="00957DEF" w:rsidP="00362602">
      <w:pPr>
        <w:ind w:firstLineChars="200" w:firstLine="420"/>
        <w:rPr>
          <w:rFonts w:ascii="宋体" w:hAnsi="宋体"/>
        </w:rPr>
      </w:pPr>
      <w:r w:rsidRPr="002573EA">
        <w:rPr>
          <w:rFonts w:ascii="宋体" w:hAnsi="宋体" w:hint="eastAsia"/>
        </w:rPr>
        <w:t>（3）星级共分五个级别，最高为五星级；</w:t>
      </w:r>
    </w:p>
    <w:p w:rsidR="00957DEF" w:rsidRPr="00362602" w:rsidRDefault="00957DEF" w:rsidP="00362602">
      <w:pPr>
        <w:ind w:firstLineChars="200" w:firstLine="420"/>
        <w:rPr>
          <w:rFonts w:ascii="宋体" w:hAnsi="宋体"/>
        </w:rPr>
      </w:pPr>
      <w:r w:rsidRPr="002573EA">
        <w:rPr>
          <w:rFonts w:ascii="宋体" w:hAnsi="宋体" w:hint="eastAsia"/>
        </w:rPr>
        <w:t>（4）分别选取连续三年、连续五年五星级的分析师，不限人数。</w:t>
      </w:r>
    </w:p>
    <w:p w:rsidR="00957DEF" w:rsidRPr="00883874" w:rsidRDefault="00957DEF" w:rsidP="004E1080">
      <w:pPr>
        <w:spacing w:beforeLines="100"/>
        <w:rPr>
          <w:b/>
        </w:rPr>
      </w:pPr>
      <w:r w:rsidRPr="00883874">
        <w:rPr>
          <w:rFonts w:hint="eastAsia"/>
          <w:b/>
        </w:rPr>
        <w:t>5.6</w:t>
      </w:r>
      <w:r>
        <w:rPr>
          <w:rFonts w:hint="eastAsia"/>
          <w:b/>
        </w:rPr>
        <w:t xml:space="preserve"> </w:t>
      </w:r>
      <w:r w:rsidRPr="00883874">
        <w:rPr>
          <w:rFonts w:hint="eastAsia"/>
          <w:b/>
        </w:rPr>
        <w:t>最佳策略分析师</w:t>
      </w:r>
    </w:p>
    <w:p w:rsidR="00957DEF" w:rsidRPr="00362602" w:rsidRDefault="00957DEF" w:rsidP="004E1080">
      <w:pPr>
        <w:widowControl/>
        <w:spacing w:beforeLines="50"/>
        <w:ind w:firstLineChars="200" w:firstLine="420"/>
        <w:rPr>
          <w:rFonts w:ascii="宋体" w:hAnsi="宋体" w:cs="宋体"/>
          <w:b/>
          <w:kern w:val="0"/>
          <w:szCs w:val="21"/>
        </w:rPr>
      </w:pPr>
      <w:r w:rsidRPr="00883874">
        <w:rPr>
          <w:rFonts w:ascii="宋体" w:hAnsi="宋体" w:cs="宋体" w:hint="eastAsia"/>
          <w:kern w:val="0"/>
          <w:szCs w:val="21"/>
        </w:rPr>
        <w:t>评选对象为</w:t>
      </w:r>
      <w:r w:rsidRPr="0003386A">
        <w:rPr>
          <w:rFonts w:ascii="宋体" w:hAnsi="宋体" w:cs="宋体" w:hint="eastAsia"/>
          <w:kern w:val="0"/>
          <w:szCs w:val="21"/>
        </w:rPr>
        <w:t>卖方</w:t>
      </w:r>
      <w:r>
        <w:rPr>
          <w:rFonts w:ascii="宋体" w:hAnsi="宋体" w:cs="宋体" w:hint="eastAsia"/>
          <w:kern w:val="0"/>
          <w:szCs w:val="21"/>
        </w:rPr>
        <w:t>研究</w:t>
      </w:r>
      <w:r w:rsidRPr="0003386A">
        <w:rPr>
          <w:rFonts w:ascii="宋体" w:hAnsi="宋体" w:cs="宋体" w:hint="eastAsia"/>
          <w:kern w:val="0"/>
          <w:szCs w:val="21"/>
        </w:rPr>
        <w:t>机构的策略分析师</w:t>
      </w:r>
      <w:r>
        <w:rPr>
          <w:rFonts w:ascii="宋体" w:hAnsi="宋体" w:cs="宋体" w:hint="eastAsia"/>
          <w:kern w:val="0"/>
          <w:szCs w:val="21"/>
        </w:rPr>
        <w:t>。</w:t>
      </w:r>
    </w:p>
    <w:p w:rsidR="00957DEF" w:rsidRDefault="00957DEF" w:rsidP="004E1080">
      <w:pPr>
        <w:spacing w:beforeLines="100"/>
        <w:ind w:firstLineChars="196" w:firstLine="413"/>
        <w:rPr>
          <w:rFonts w:ascii="宋体" w:hAnsi="宋体" w:cs="宋体"/>
          <w:b/>
          <w:kern w:val="0"/>
          <w:szCs w:val="21"/>
        </w:rPr>
      </w:pPr>
      <w:r w:rsidRPr="0003386A">
        <w:rPr>
          <w:rFonts w:ascii="宋体" w:hAnsi="宋体" w:cs="宋体" w:hint="eastAsia"/>
          <w:b/>
          <w:kern w:val="0"/>
          <w:szCs w:val="21"/>
        </w:rPr>
        <w:t>评选标准</w:t>
      </w:r>
    </w:p>
    <w:p w:rsidR="00957DEF" w:rsidRPr="00B71EFD" w:rsidRDefault="00957DEF" w:rsidP="00362602">
      <w:pPr>
        <w:ind w:firstLineChars="196" w:firstLine="412"/>
        <w:rPr>
          <w:rFonts w:ascii="宋体" w:hAnsi="宋体"/>
          <w:szCs w:val="21"/>
        </w:rPr>
      </w:pPr>
      <w:r w:rsidRPr="00B71EFD">
        <w:rPr>
          <w:rFonts w:ascii="宋体" w:hAnsi="宋体" w:cs="宋体" w:hint="eastAsia"/>
          <w:kern w:val="0"/>
          <w:szCs w:val="21"/>
        </w:rPr>
        <w:t>（1）</w:t>
      </w:r>
      <w:r w:rsidRPr="00B71EFD">
        <w:rPr>
          <w:rFonts w:ascii="宋体" w:hAnsi="宋体" w:hint="eastAsia"/>
          <w:szCs w:val="21"/>
        </w:rPr>
        <w:t>对研究机构每年度（半年、二季度、四季度、月度）出的策略报告中指数预期和趋势判断进行打分；</w:t>
      </w:r>
    </w:p>
    <w:p w:rsidR="00957DEF" w:rsidRDefault="00957DEF" w:rsidP="00362602">
      <w:pPr>
        <w:ind w:firstLine="420"/>
        <w:rPr>
          <w:rFonts w:ascii="宋体" w:hAnsi="宋体"/>
          <w:szCs w:val="21"/>
        </w:rPr>
      </w:pPr>
      <w:r w:rsidRPr="00B71EFD">
        <w:rPr>
          <w:rFonts w:ascii="宋体" w:hAnsi="宋体" w:hint="eastAsia"/>
          <w:szCs w:val="21"/>
        </w:rPr>
        <w:t>（2）对研究机构每年度（半年、二季度、四季度、月度）出的策略报告中超配、低配行业（超额收益）</w:t>
      </w:r>
      <w:r w:rsidRPr="0003386A">
        <w:rPr>
          <w:rFonts w:ascii="宋体" w:hAnsi="宋体" w:hint="eastAsia"/>
          <w:szCs w:val="21"/>
        </w:rPr>
        <w:t>进行打分</w:t>
      </w:r>
      <w:r>
        <w:rPr>
          <w:rFonts w:ascii="宋体" w:hAnsi="宋体" w:hint="eastAsia"/>
          <w:szCs w:val="21"/>
        </w:rPr>
        <w:t>；</w:t>
      </w:r>
    </w:p>
    <w:p w:rsidR="00957DEF" w:rsidRDefault="00957DEF" w:rsidP="00362602">
      <w:pPr>
        <w:ind w:firstLine="420"/>
        <w:rPr>
          <w:rFonts w:ascii="宋体" w:hAnsi="宋体"/>
          <w:szCs w:val="21"/>
        </w:rPr>
      </w:pPr>
      <w:r>
        <w:rPr>
          <w:rFonts w:ascii="宋体" w:hAnsi="宋体" w:hint="eastAsia"/>
          <w:szCs w:val="21"/>
        </w:rPr>
        <w:t>（3）</w:t>
      </w:r>
      <w:r w:rsidRPr="0003386A">
        <w:rPr>
          <w:rFonts w:ascii="宋体" w:hAnsi="宋体" w:hint="eastAsia"/>
          <w:szCs w:val="21"/>
        </w:rPr>
        <w:t>对研究机构每年度（半年、二季度、四季度、月度）出的策略报告中</w:t>
      </w:r>
      <w:r>
        <w:rPr>
          <w:rFonts w:ascii="宋体" w:hAnsi="宋体" w:hint="eastAsia"/>
          <w:szCs w:val="21"/>
        </w:rPr>
        <w:t>推荐的股票</w:t>
      </w:r>
      <w:r w:rsidRPr="0003386A">
        <w:rPr>
          <w:rFonts w:ascii="宋体" w:hAnsi="宋体" w:hint="eastAsia"/>
          <w:szCs w:val="21"/>
        </w:rPr>
        <w:t>，按其超额收益情况进行加减分</w:t>
      </w:r>
      <w:r>
        <w:rPr>
          <w:rFonts w:ascii="宋体" w:hAnsi="宋体" w:hint="eastAsia"/>
          <w:szCs w:val="21"/>
        </w:rPr>
        <w:t>；</w:t>
      </w:r>
    </w:p>
    <w:p w:rsidR="00957DEF" w:rsidRPr="0003386A" w:rsidRDefault="00957DEF" w:rsidP="00362602">
      <w:pPr>
        <w:ind w:firstLine="420"/>
        <w:rPr>
          <w:rFonts w:ascii="宋体" w:hAnsi="宋体"/>
          <w:szCs w:val="21"/>
        </w:rPr>
      </w:pPr>
      <w:r>
        <w:rPr>
          <w:rFonts w:ascii="宋体" w:hAnsi="宋体" w:hint="eastAsia"/>
          <w:szCs w:val="21"/>
        </w:rPr>
        <w:t>（4）以上三项均预期较好的，得出年度最佳策略分析师；</w:t>
      </w:r>
    </w:p>
    <w:p w:rsidR="00957DEF" w:rsidRDefault="00957DEF" w:rsidP="004E1080">
      <w:pPr>
        <w:spacing w:beforeLines="100"/>
        <w:ind w:firstLineChars="196" w:firstLine="413"/>
        <w:rPr>
          <w:rFonts w:ascii="宋体" w:hAnsi="宋体"/>
          <w:b/>
          <w:szCs w:val="21"/>
        </w:rPr>
      </w:pPr>
      <w:r w:rsidRPr="0003386A">
        <w:rPr>
          <w:rFonts w:ascii="宋体" w:hAnsi="宋体" w:hint="eastAsia"/>
          <w:b/>
          <w:szCs w:val="21"/>
        </w:rPr>
        <w:t>策略报告权重</w:t>
      </w:r>
    </w:p>
    <w:p w:rsidR="00957DEF" w:rsidRPr="00B71EFD" w:rsidRDefault="00957DEF" w:rsidP="00362602">
      <w:pPr>
        <w:ind w:firstLineChars="196" w:firstLine="412"/>
        <w:rPr>
          <w:rFonts w:ascii="宋体" w:hAnsi="宋体" w:cs="宋体"/>
          <w:kern w:val="0"/>
          <w:szCs w:val="21"/>
        </w:rPr>
      </w:pPr>
      <w:r>
        <w:rPr>
          <w:rFonts w:ascii="宋体" w:hAnsi="宋体" w:cs="宋体" w:hint="eastAsia"/>
          <w:kern w:val="0"/>
          <w:szCs w:val="21"/>
        </w:rPr>
        <w:t>（1）</w:t>
      </w:r>
      <w:r w:rsidRPr="00B71EFD">
        <w:rPr>
          <w:rFonts w:ascii="宋体" w:hAnsi="宋体" w:cs="宋体" w:hint="eastAsia"/>
          <w:kern w:val="0"/>
          <w:szCs w:val="21"/>
        </w:rPr>
        <w:t>年度策略报告权重占46%；</w:t>
      </w:r>
    </w:p>
    <w:p w:rsidR="00957DEF" w:rsidRPr="001C1E22" w:rsidRDefault="00957DEF" w:rsidP="00362602">
      <w:pPr>
        <w:ind w:firstLineChars="196" w:firstLine="412"/>
        <w:rPr>
          <w:rFonts w:ascii="宋体" w:hAnsi="宋体" w:cs="宋体"/>
          <w:kern w:val="0"/>
          <w:szCs w:val="21"/>
        </w:rPr>
      </w:pPr>
      <w:r w:rsidRPr="001C1E22">
        <w:rPr>
          <w:rFonts w:ascii="宋体" w:hAnsi="宋体" w:cs="宋体" w:hint="eastAsia"/>
          <w:kern w:val="0"/>
          <w:szCs w:val="21"/>
        </w:rPr>
        <w:t>（2）半年度、二季度、四季度策略报告权重占30%，比例为2:1:1；</w:t>
      </w:r>
    </w:p>
    <w:p w:rsidR="00957DEF" w:rsidRPr="00362602" w:rsidRDefault="00957DEF" w:rsidP="00362602">
      <w:pPr>
        <w:ind w:firstLineChars="196" w:firstLine="412"/>
        <w:rPr>
          <w:rFonts w:ascii="宋体" w:hAnsi="宋体" w:cs="宋体"/>
          <w:kern w:val="0"/>
          <w:szCs w:val="21"/>
        </w:rPr>
      </w:pPr>
      <w:r>
        <w:rPr>
          <w:rFonts w:ascii="宋体" w:hAnsi="宋体" w:cs="宋体" w:hint="eastAsia"/>
          <w:kern w:val="0"/>
          <w:szCs w:val="21"/>
        </w:rPr>
        <w:t>（3）</w:t>
      </w:r>
      <w:r w:rsidRPr="00B71EFD">
        <w:rPr>
          <w:rFonts w:ascii="宋体" w:hAnsi="宋体" w:cs="宋体" w:hint="eastAsia"/>
          <w:kern w:val="0"/>
          <w:szCs w:val="21"/>
        </w:rPr>
        <w:t>月度策略报告权重占24%；</w:t>
      </w:r>
    </w:p>
    <w:p w:rsidR="00957DEF" w:rsidRDefault="00957DEF" w:rsidP="004E1080">
      <w:pPr>
        <w:spacing w:beforeLines="100"/>
        <w:ind w:firstLineChars="196" w:firstLine="413"/>
        <w:rPr>
          <w:rFonts w:ascii="宋体" w:hAnsi="宋体"/>
          <w:b/>
          <w:szCs w:val="21"/>
        </w:rPr>
      </w:pPr>
      <w:r w:rsidRPr="0003386A">
        <w:rPr>
          <w:rFonts w:ascii="宋体" w:hAnsi="宋体" w:hint="eastAsia"/>
          <w:b/>
          <w:szCs w:val="21"/>
        </w:rPr>
        <w:t>具体评分</w:t>
      </w:r>
    </w:p>
    <w:p w:rsidR="00957DEF" w:rsidRPr="00B71EFD" w:rsidRDefault="00957DEF" w:rsidP="00362602">
      <w:pPr>
        <w:ind w:firstLineChars="196" w:firstLine="412"/>
        <w:rPr>
          <w:rFonts w:ascii="宋体" w:hAnsi="宋体"/>
          <w:szCs w:val="21"/>
        </w:rPr>
      </w:pPr>
      <w:r w:rsidRPr="00B71EFD">
        <w:rPr>
          <w:rFonts w:ascii="宋体" w:hAnsi="宋体" w:hint="eastAsia"/>
          <w:szCs w:val="21"/>
        </w:rPr>
        <w:t>（1）对机构策略报告中指数预期计算偏离度，如没有指数预期，则对机构策略报告中的趋势判断准确度，综合两项预期进行排序（主观打分），并转换成百分制；</w:t>
      </w:r>
    </w:p>
    <w:p w:rsidR="00957DEF" w:rsidRDefault="00957DEF" w:rsidP="00362602">
      <w:pPr>
        <w:ind w:firstLineChars="196" w:firstLine="412"/>
        <w:rPr>
          <w:rFonts w:ascii="宋体" w:hAnsi="宋体"/>
          <w:szCs w:val="21"/>
        </w:rPr>
      </w:pPr>
      <w:r w:rsidRPr="00B71EFD">
        <w:rPr>
          <w:rFonts w:ascii="宋体" w:hAnsi="宋体" w:hint="eastAsia"/>
          <w:szCs w:val="21"/>
        </w:rPr>
        <w:t>（2）对机构策略报告中建议超配、低配的行业（按流通市值）与同期的沪深300涨幅进行比较，超</w:t>
      </w:r>
      <w:r w:rsidRPr="0003386A">
        <w:rPr>
          <w:rFonts w:ascii="宋体" w:hAnsi="宋体" w:hint="eastAsia"/>
          <w:szCs w:val="21"/>
        </w:rPr>
        <w:t>配的行业整体收益—低配的行业整体收益，然后进行排序，并转换成百分制</w:t>
      </w:r>
      <w:r>
        <w:rPr>
          <w:rFonts w:ascii="宋体" w:hAnsi="宋体" w:hint="eastAsia"/>
          <w:szCs w:val="21"/>
        </w:rPr>
        <w:t>；</w:t>
      </w:r>
    </w:p>
    <w:p w:rsidR="00957DEF" w:rsidRPr="00B71EFD" w:rsidRDefault="00957DEF" w:rsidP="00362602">
      <w:pPr>
        <w:ind w:firstLineChars="196" w:firstLine="412"/>
        <w:rPr>
          <w:rFonts w:ascii="宋体" w:hAnsi="宋体"/>
          <w:b/>
          <w:szCs w:val="21"/>
        </w:rPr>
      </w:pPr>
      <w:r>
        <w:rPr>
          <w:rFonts w:ascii="宋体" w:hAnsi="宋体" w:hint="eastAsia"/>
          <w:szCs w:val="21"/>
        </w:rPr>
        <w:t>（3）</w:t>
      </w:r>
      <w:r w:rsidRPr="0003386A">
        <w:rPr>
          <w:rFonts w:ascii="宋体" w:hAnsi="宋体" w:hint="eastAsia"/>
          <w:szCs w:val="21"/>
        </w:rPr>
        <w:t>对机构策略报告中</w:t>
      </w:r>
      <w:r>
        <w:rPr>
          <w:rFonts w:ascii="宋体" w:hAnsi="宋体" w:hint="eastAsia"/>
          <w:szCs w:val="21"/>
        </w:rPr>
        <w:t>推荐的股票</w:t>
      </w:r>
      <w:r w:rsidRPr="0003386A">
        <w:rPr>
          <w:rFonts w:ascii="宋体" w:hAnsi="宋体" w:hint="eastAsia"/>
          <w:szCs w:val="21"/>
        </w:rPr>
        <w:t>与同期沪深300涨幅进行比较</w:t>
      </w:r>
      <w:r>
        <w:rPr>
          <w:rFonts w:ascii="宋体" w:hAnsi="宋体" w:hint="eastAsia"/>
          <w:szCs w:val="21"/>
        </w:rPr>
        <w:t>，计算整体平均超额收益。</w:t>
      </w:r>
      <w:r w:rsidRPr="0003386A">
        <w:rPr>
          <w:rFonts w:ascii="宋体" w:hAnsi="宋体" w:hint="eastAsia"/>
          <w:szCs w:val="21"/>
        </w:rPr>
        <w:t>超额收益每超过或低于1%加或减1分，加减分最多不超过20分</w:t>
      </w:r>
      <w:r>
        <w:rPr>
          <w:rFonts w:ascii="宋体" w:hAnsi="宋体" w:hint="eastAsia"/>
          <w:szCs w:val="21"/>
        </w:rPr>
        <w:t>；</w:t>
      </w:r>
    </w:p>
    <w:p w:rsidR="00957DEF" w:rsidRDefault="00957DEF" w:rsidP="00362602">
      <w:pPr>
        <w:ind w:firstLineChars="200" w:firstLine="420"/>
        <w:rPr>
          <w:rFonts w:ascii="宋体" w:hAnsi="宋体"/>
          <w:szCs w:val="21"/>
        </w:rPr>
      </w:pPr>
      <w:r>
        <w:rPr>
          <w:rFonts w:ascii="宋体" w:hAnsi="宋体" w:hint="eastAsia"/>
          <w:szCs w:val="21"/>
        </w:rPr>
        <w:t>（4）</w:t>
      </w:r>
      <w:r w:rsidRPr="0003386A">
        <w:rPr>
          <w:rFonts w:ascii="宋体" w:hAnsi="宋体" w:hint="eastAsia"/>
          <w:szCs w:val="21"/>
        </w:rPr>
        <w:t>以上三项得分进行累加后，得出最后的排名情况。</w:t>
      </w:r>
    </w:p>
    <w:p w:rsidR="00957DEF" w:rsidRPr="002573EA" w:rsidRDefault="00957DEF" w:rsidP="004E1080">
      <w:pPr>
        <w:spacing w:beforeLines="100"/>
        <w:rPr>
          <w:b/>
        </w:rPr>
      </w:pPr>
      <w:r w:rsidRPr="002573EA">
        <w:rPr>
          <w:rFonts w:hint="eastAsia"/>
          <w:b/>
        </w:rPr>
        <w:t xml:space="preserve">5.7 </w:t>
      </w:r>
      <w:r w:rsidRPr="002573EA">
        <w:rPr>
          <w:rFonts w:ascii="宋体" w:hAnsi="宋体" w:hint="eastAsia"/>
          <w:b/>
          <w:szCs w:val="21"/>
        </w:rPr>
        <w:t>券商研究力量排行</w:t>
      </w:r>
    </w:p>
    <w:p w:rsidR="00957DEF" w:rsidRPr="001C1E22" w:rsidRDefault="00957DEF" w:rsidP="004E1080">
      <w:pPr>
        <w:spacing w:beforeLines="50"/>
        <w:ind w:firstLineChars="200" w:firstLine="420"/>
        <w:rPr>
          <w:rFonts w:ascii="宋体" w:hAnsi="宋体"/>
          <w:szCs w:val="21"/>
        </w:rPr>
      </w:pPr>
      <w:r w:rsidRPr="001C1E22">
        <w:rPr>
          <w:rFonts w:ascii="宋体" w:hAnsi="宋体" w:hint="eastAsia"/>
          <w:szCs w:val="21"/>
        </w:rPr>
        <w:t>评选对象为卖方研究机构</w:t>
      </w:r>
      <w:r>
        <w:rPr>
          <w:rFonts w:ascii="宋体" w:hAnsi="宋体" w:hint="eastAsia"/>
          <w:szCs w:val="21"/>
        </w:rPr>
        <w:t>、</w:t>
      </w:r>
      <w:r w:rsidRPr="002573EA">
        <w:rPr>
          <w:rFonts w:hint="eastAsia"/>
        </w:rPr>
        <w:t>分析师排名人均得分不为</w:t>
      </w:r>
      <w:r w:rsidRPr="002573EA">
        <w:t>0</w:t>
      </w:r>
      <w:r w:rsidRPr="002573EA">
        <w:rPr>
          <w:rFonts w:hint="eastAsia"/>
        </w:rPr>
        <w:t>的机构</w:t>
      </w:r>
      <w:r>
        <w:rPr>
          <w:rFonts w:hint="eastAsia"/>
        </w:rPr>
        <w:t>。</w:t>
      </w:r>
    </w:p>
    <w:p w:rsidR="00957DEF" w:rsidRDefault="00957DEF" w:rsidP="004E1080">
      <w:pPr>
        <w:spacing w:beforeLines="100"/>
        <w:ind w:firstLineChars="196" w:firstLine="413"/>
        <w:rPr>
          <w:rFonts w:ascii="宋体" w:hAnsi="宋体"/>
          <w:b/>
          <w:szCs w:val="21"/>
        </w:rPr>
      </w:pPr>
      <w:r w:rsidRPr="001C1E22">
        <w:rPr>
          <w:rFonts w:ascii="宋体" w:hAnsi="宋体" w:hint="eastAsia"/>
          <w:b/>
          <w:szCs w:val="21"/>
        </w:rPr>
        <w:t>评选标准</w:t>
      </w:r>
    </w:p>
    <w:p w:rsidR="00957DEF" w:rsidRPr="00AF7372" w:rsidRDefault="00957DEF" w:rsidP="00362602">
      <w:pPr>
        <w:ind w:firstLineChars="196" w:firstLine="412"/>
        <w:rPr>
          <w:rFonts w:ascii="宋体" w:hAnsi="宋体"/>
          <w:b/>
          <w:szCs w:val="21"/>
        </w:rPr>
      </w:pPr>
      <w:r w:rsidRPr="001C1E22">
        <w:rPr>
          <w:rFonts w:ascii="宋体" w:hAnsi="宋体" w:hint="eastAsia"/>
          <w:szCs w:val="21"/>
        </w:rPr>
        <w:t>（1</w:t>
      </w:r>
      <w:r w:rsidRPr="001C1E22">
        <w:rPr>
          <w:rFonts w:ascii="宋体" w:hAnsi="宋体"/>
          <w:szCs w:val="21"/>
        </w:rPr>
        <w:t>）</w:t>
      </w:r>
      <w:r w:rsidRPr="001C1E22">
        <w:rPr>
          <w:rFonts w:ascii="宋体" w:hAnsi="宋体" w:hint="eastAsia"/>
          <w:szCs w:val="21"/>
        </w:rPr>
        <w:t>质量评价指标：分析师盈利预测、分析</w:t>
      </w:r>
      <w:proofErr w:type="gramStart"/>
      <w:r w:rsidRPr="001C1E22">
        <w:rPr>
          <w:rFonts w:ascii="宋体" w:hAnsi="宋体" w:hint="eastAsia"/>
          <w:szCs w:val="21"/>
        </w:rPr>
        <w:t>师投资</w:t>
      </w:r>
      <w:proofErr w:type="gramEnd"/>
      <w:r w:rsidRPr="001C1E22">
        <w:rPr>
          <w:rFonts w:ascii="宋体" w:hAnsi="宋体" w:hint="eastAsia"/>
          <w:szCs w:val="21"/>
        </w:rPr>
        <w:t>评级、</w:t>
      </w:r>
      <w:proofErr w:type="gramStart"/>
      <w:r w:rsidRPr="001C1E22">
        <w:rPr>
          <w:rFonts w:ascii="宋体" w:hAnsi="宋体" w:hint="eastAsia"/>
          <w:szCs w:val="21"/>
        </w:rPr>
        <w:t>分析师目标价</w:t>
      </w:r>
      <w:proofErr w:type="gramEnd"/>
      <w:r w:rsidRPr="001C1E22">
        <w:rPr>
          <w:rFonts w:ascii="宋体" w:hAnsi="宋体" w:hint="eastAsia"/>
          <w:szCs w:val="21"/>
        </w:rPr>
        <w:t>；</w:t>
      </w:r>
    </w:p>
    <w:p w:rsidR="00957DEF" w:rsidRPr="001C1E22" w:rsidRDefault="00957DEF" w:rsidP="00362602">
      <w:pPr>
        <w:ind w:firstLineChars="200" w:firstLine="420"/>
        <w:rPr>
          <w:rFonts w:ascii="宋体" w:hAnsi="宋体"/>
          <w:szCs w:val="21"/>
        </w:rPr>
      </w:pPr>
      <w:r w:rsidRPr="001C1E22">
        <w:rPr>
          <w:rFonts w:ascii="宋体" w:hAnsi="宋体" w:hint="eastAsia"/>
          <w:szCs w:val="21"/>
        </w:rPr>
        <w:t>（2）数量评价指标：分析</w:t>
      </w:r>
      <w:proofErr w:type="gramStart"/>
      <w:r w:rsidRPr="001C1E22">
        <w:rPr>
          <w:rFonts w:ascii="宋体" w:hAnsi="宋体" w:hint="eastAsia"/>
          <w:szCs w:val="21"/>
        </w:rPr>
        <w:t>师报告</w:t>
      </w:r>
      <w:proofErr w:type="gramEnd"/>
      <w:r w:rsidRPr="001C1E22">
        <w:rPr>
          <w:rFonts w:ascii="宋体" w:hAnsi="宋体" w:hint="eastAsia"/>
          <w:szCs w:val="21"/>
        </w:rPr>
        <w:t>数量、公司覆盖率、行业覆盖率；</w:t>
      </w:r>
    </w:p>
    <w:p w:rsidR="00957DEF" w:rsidRPr="00362602" w:rsidRDefault="00957DEF" w:rsidP="00362602">
      <w:pPr>
        <w:ind w:firstLineChars="200" w:firstLine="420"/>
        <w:rPr>
          <w:rFonts w:ascii="宋体" w:hAnsi="宋体"/>
          <w:szCs w:val="21"/>
        </w:rPr>
      </w:pPr>
      <w:r w:rsidRPr="001C1E22">
        <w:rPr>
          <w:rFonts w:ascii="宋体" w:hAnsi="宋体" w:hint="eastAsia"/>
          <w:szCs w:val="21"/>
        </w:rPr>
        <w:t>（3）佣金占有率；</w:t>
      </w:r>
    </w:p>
    <w:p w:rsidR="00957DEF" w:rsidRPr="001C1E22" w:rsidRDefault="00957DEF" w:rsidP="004E1080">
      <w:pPr>
        <w:spacing w:beforeLines="100"/>
        <w:ind w:firstLineChars="196" w:firstLine="413"/>
        <w:rPr>
          <w:rFonts w:ascii="宋体" w:hAnsi="宋体"/>
          <w:b/>
          <w:sz w:val="24"/>
        </w:rPr>
      </w:pPr>
      <w:r w:rsidRPr="001C1E22">
        <w:rPr>
          <w:rFonts w:ascii="宋体" w:hAnsi="宋体" w:hint="eastAsia"/>
          <w:b/>
          <w:szCs w:val="21"/>
        </w:rPr>
        <w:t>评价体系：</w:t>
      </w:r>
    </w:p>
    <w:p w:rsidR="00957DEF" w:rsidRDefault="00957DEF" w:rsidP="004E1080">
      <w:pPr>
        <w:spacing w:beforeLines="50"/>
        <w:ind w:firstLineChars="196" w:firstLine="412"/>
        <w:rPr>
          <w:rFonts w:ascii="宋体" w:hAnsi="宋体"/>
          <w:szCs w:val="21"/>
        </w:rPr>
      </w:pPr>
      <w:r w:rsidRPr="001C1E22">
        <w:rPr>
          <w:rFonts w:ascii="宋体" w:hAnsi="宋体" w:hint="eastAsia"/>
          <w:szCs w:val="21"/>
        </w:rPr>
        <w:t>将以上三方面指标加权平均：质量指标占50%、数量占30％、佣金占有率占20％。</w:t>
      </w:r>
    </w:p>
    <w:p w:rsidR="00957DEF" w:rsidRPr="001C1E22" w:rsidRDefault="00957DEF" w:rsidP="00362602">
      <w:pPr>
        <w:ind w:firstLineChars="196" w:firstLine="412"/>
        <w:rPr>
          <w:rFonts w:ascii="宋体" w:hAnsi="宋体"/>
          <w:szCs w:val="21"/>
        </w:rPr>
      </w:pPr>
      <w:r w:rsidRPr="001C1E22">
        <w:rPr>
          <w:rFonts w:ascii="宋体" w:hAnsi="宋体" w:hint="eastAsia"/>
          <w:szCs w:val="21"/>
        </w:rPr>
        <w:t>具体细分：</w:t>
      </w:r>
    </w:p>
    <w:p w:rsidR="00957DEF" w:rsidRPr="001C1E22" w:rsidRDefault="00957DEF" w:rsidP="004E1080">
      <w:pPr>
        <w:spacing w:beforeLines="50"/>
        <w:ind w:leftChars="340" w:left="1846" w:hangingChars="539" w:hanging="1132"/>
        <w:rPr>
          <w:rFonts w:ascii="宋体" w:hAnsi="宋体"/>
          <w:szCs w:val="21"/>
        </w:rPr>
      </w:pPr>
      <w:r w:rsidRPr="001C1E22">
        <w:rPr>
          <w:rFonts w:ascii="宋体" w:hAnsi="宋体" w:hint="eastAsia"/>
          <w:szCs w:val="21"/>
        </w:rPr>
        <w:lastRenderedPageBreak/>
        <w:t>质量、数量指标=分析师排名得分累加（20％权重）＋优秀分析师人数（动态，占20％权重）＋分析</w:t>
      </w:r>
      <w:proofErr w:type="gramStart"/>
      <w:r w:rsidRPr="001C1E22">
        <w:rPr>
          <w:rFonts w:ascii="宋体" w:hAnsi="宋体" w:hint="eastAsia"/>
          <w:szCs w:val="21"/>
        </w:rPr>
        <w:t>师人均</w:t>
      </w:r>
      <w:proofErr w:type="gramEnd"/>
      <w:r w:rsidRPr="001C1E22">
        <w:rPr>
          <w:rFonts w:ascii="宋体" w:hAnsi="宋体" w:hint="eastAsia"/>
          <w:szCs w:val="21"/>
        </w:rPr>
        <w:t>工作年限（只取有盈利预测得分或投资评级得分的分析师，10％权重）+深度报告数量（公司报告和行业报告，剔除日、周、月报，10%权重）+报告数量（公司报告和行业报告，10%权重）+覆盖率（包括公司和行业覆盖率，各占5%权重）</w:t>
      </w:r>
    </w:p>
    <w:p w:rsidR="00957DEF" w:rsidRPr="001C1E22" w:rsidRDefault="00957DEF" w:rsidP="004E1080">
      <w:pPr>
        <w:spacing w:beforeLines="50"/>
        <w:ind w:leftChars="340" w:left="1846" w:hangingChars="539" w:hanging="1132"/>
        <w:rPr>
          <w:rFonts w:ascii="宋体" w:hAnsi="宋体"/>
          <w:szCs w:val="21"/>
        </w:rPr>
      </w:pPr>
      <w:r w:rsidRPr="001C1E22">
        <w:rPr>
          <w:rFonts w:ascii="宋体" w:hAnsi="宋体" w:hint="eastAsia"/>
          <w:szCs w:val="21"/>
        </w:rPr>
        <w:t>分析师得分=1/3*盈利预测得分+2/3*最新投资评级得分（二级行业得分）</w:t>
      </w:r>
    </w:p>
    <w:p w:rsidR="00957DEF" w:rsidRDefault="00957DEF" w:rsidP="004E1080">
      <w:pPr>
        <w:spacing w:beforeLines="50"/>
        <w:ind w:leftChars="340" w:left="1846" w:hangingChars="539" w:hanging="1132"/>
      </w:pPr>
      <w:r w:rsidRPr="001C1E22">
        <w:rPr>
          <w:rFonts w:hint="eastAsia"/>
          <w:szCs w:val="21"/>
        </w:rPr>
        <w:t>优秀分析师</w:t>
      </w:r>
      <w:r w:rsidRPr="001C1E22">
        <w:rPr>
          <w:rFonts w:hint="eastAsia"/>
          <w:szCs w:val="21"/>
        </w:rPr>
        <w:t>=</w:t>
      </w:r>
      <w:r w:rsidRPr="001C1E22">
        <w:rPr>
          <w:rFonts w:hint="eastAsia"/>
          <w:szCs w:val="21"/>
        </w:rPr>
        <w:t>五星级分析师</w:t>
      </w:r>
      <w:r>
        <w:rPr>
          <w:rFonts w:hint="eastAsia"/>
          <w:szCs w:val="21"/>
        </w:rPr>
        <w:t>；</w:t>
      </w:r>
      <w:r w:rsidRPr="002573EA">
        <w:rPr>
          <w:rFonts w:hint="eastAsia"/>
        </w:rPr>
        <w:t>盈利预测二级行业排名得分大于</w:t>
      </w:r>
      <w:r w:rsidRPr="002573EA">
        <w:t>90</w:t>
      </w:r>
      <w:r w:rsidRPr="002573EA">
        <w:rPr>
          <w:rFonts w:hint="eastAsia"/>
        </w:rPr>
        <w:t>分；投资评级</w:t>
      </w:r>
      <w:r w:rsidRPr="002573EA">
        <w:rPr>
          <w:rFonts w:hint="eastAsia"/>
          <w:bCs/>
          <w:iCs/>
          <w:snapToGrid w:val="0"/>
        </w:rPr>
        <w:t>按</w:t>
      </w:r>
      <w:r w:rsidRPr="002573EA">
        <w:rPr>
          <w:rFonts w:hint="eastAsia"/>
        </w:rPr>
        <w:t>二级行业得分排在前</w:t>
      </w:r>
      <w:r w:rsidRPr="002573EA">
        <w:t>10%</w:t>
      </w:r>
      <w:r>
        <w:rPr>
          <w:rFonts w:hint="eastAsia"/>
        </w:rPr>
        <w:t>的；</w:t>
      </w:r>
      <w:r w:rsidRPr="002573EA">
        <w:rPr>
          <w:rFonts w:hint="eastAsia"/>
        </w:rPr>
        <w:t>三类分析师均算优秀分析师</w:t>
      </w:r>
      <w:r>
        <w:rPr>
          <w:rFonts w:hint="eastAsia"/>
        </w:rPr>
        <w:t>。</w:t>
      </w:r>
    </w:p>
    <w:p w:rsidR="00957DEF" w:rsidRPr="00AF7372" w:rsidRDefault="00957DEF" w:rsidP="004E1080">
      <w:pPr>
        <w:spacing w:beforeLines="50"/>
        <w:ind w:leftChars="340" w:left="1846" w:hangingChars="539" w:hanging="1132"/>
        <w:rPr>
          <w:rFonts w:ascii="宋体" w:hAnsi="宋体"/>
        </w:rPr>
      </w:pPr>
      <w:r w:rsidRPr="002573EA">
        <w:rPr>
          <w:rFonts w:hint="eastAsia"/>
        </w:rPr>
        <w:t>分析师工作年限</w:t>
      </w:r>
      <w:r>
        <w:rPr>
          <w:rFonts w:hint="eastAsia"/>
        </w:rPr>
        <w:t>：</w:t>
      </w:r>
      <w:r w:rsidRPr="002573EA">
        <w:rPr>
          <w:rFonts w:hint="eastAsia"/>
        </w:rPr>
        <w:t>以第一篇报告的日期到当前进行计算。</w:t>
      </w:r>
    </w:p>
    <w:p w:rsidR="00957DEF" w:rsidRPr="001C1E22" w:rsidRDefault="00957DEF" w:rsidP="004E1080">
      <w:pPr>
        <w:spacing w:beforeLines="50"/>
        <w:ind w:leftChars="340" w:left="1846" w:hangingChars="539" w:hanging="1132"/>
        <w:rPr>
          <w:rFonts w:ascii="宋体" w:hAnsi="宋体"/>
          <w:szCs w:val="21"/>
        </w:rPr>
      </w:pPr>
      <w:r w:rsidRPr="001C1E22">
        <w:rPr>
          <w:rFonts w:ascii="宋体" w:hAnsi="宋体" w:hint="eastAsia"/>
          <w:szCs w:val="21"/>
        </w:rPr>
        <w:t>深度报告：</w:t>
      </w:r>
      <w:r w:rsidRPr="001C1E22">
        <w:rPr>
          <w:rFonts w:ascii="宋体" w:hAnsi="宋体"/>
          <w:szCs w:val="21"/>
        </w:rPr>
        <w:t>提取五类关键字</w:t>
      </w:r>
      <w:r w:rsidRPr="001C1E22">
        <w:rPr>
          <w:rFonts w:ascii="宋体" w:hAnsi="宋体" w:hint="eastAsia"/>
          <w:szCs w:val="21"/>
        </w:rPr>
        <w:t>“</w:t>
      </w:r>
      <w:r w:rsidRPr="001C1E22">
        <w:rPr>
          <w:rFonts w:ascii="宋体" w:hAnsi="宋体"/>
          <w:szCs w:val="21"/>
        </w:rPr>
        <w:t>深度报告、深度研究、深度分析、深度专题、深度调研</w:t>
      </w:r>
      <w:r w:rsidRPr="001C1E22">
        <w:rPr>
          <w:rFonts w:ascii="宋体" w:hAnsi="宋体" w:hint="eastAsia"/>
          <w:szCs w:val="21"/>
        </w:rPr>
        <w:t>”；</w:t>
      </w:r>
      <w:r w:rsidRPr="001C1E22">
        <w:rPr>
          <w:rFonts w:ascii="宋体" w:hAnsi="宋体"/>
          <w:szCs w:val="21"/>
        </w:rPr>
        <w:t>13页以上的</w:t>
      </w:r>
      <w:r w:rsidRPr="001C1E22">
        <w:rPr>
          <w:rFonts w:ascii="宋体" w:hAnsi="宋体" w:hint="eastAsia"/>
          <w:szCs w:val="21"/>
        </w:rPr>
        <w:t>公司报告和行业报告</w:t>
      </w:r>
      <w:r w:rsidRPr="001C1E22">
        <w:rPr>
          <w:rFonts w:ascii="宋体" w:hAnsi="宋体"/>
          <w:szCs w:val="21"/>
        </w:rPr>
        <w:t>。在提取页码</w:t>
      </w:r>
      <w:proofErr w:type="gramStart"/>
      <w:r w:rsidRPr="001C1E22">
        <w:rPr>
          <w:rFonts w:ascii="宋体" w:hAnsi="宋体"/>
          <w:szCs w:val="21"/>
        </w:rPr>
        <w:t>做为</w:t>
      </w:r>
      <w:proofErr w:type="gramEnd"/>
      <w:r w:rsidRPr="001C1E22">
        <w:rPr>
          <w:rFonts w:ascii="宋体" w:hAnsi="宋体"/>
          <w:szCs w:val="21"/>
        </w:rPr>
        <w:t>深度报告的时候，剔除带有“周、月”字样的行业报告。</w:t>
      </w:r>
    </w:p>
    <w:p w:rsidR="00957DEF" w:rsidRPr="001C1E22" w:rsidRDefault="00957DEF" w:rsidP="004E1080">
      <w:pPr>
        <w:spacing w:beforeLines="50"/>
        <w:ind w:leftChars="340" w:left="1846" w:hangingChars="539" w:hanging="1132"/>
        <w:rPr>
          <w:rFonts w:ascii="宋体" w:hAnsi="宋体"/>
          <w:szCs w:val="21"/>
        </w:rPr>
      </w:pPr>
      <w:r w:rsidRPr="001C1E22">
        <w:rPr>
          <w:rFonts w:ascii="宋体" w:hAnsi="宋体" w:hint="eastAsia"/>
          <w:szCs w:val="21"/>
        </w:rPr>
        <w:t>公司覆盖率=半年内有报告的公司数量/上市公司总数（</w:t>
      </w:r>
      <w:r w:rsidRPr="002573EA">
        <w:rPr>
          <w:rFonts w:ascii="宋体" w:hAnsi="宋体" w:hint="eastAsia"/>
        </w:rPr>
        <w:t>只统计</w:t>
      </w:r>
      <w:r w:rsidRPr="002573EA">
        <w:rPr>
          <w:rFonts w:ascii="宋体" w:hAnsi="宋体"/>
        </w:rPr>
        <w:t>A</w:t>
      </w:r>
      <w:r w:rsidRPr="002573EA">
        <w:rPr>
          <w:rFonts w:ascii="宋体" w:hAnsi="宋体" w:hint="eastAsia"/>
        </w:rPr>
        <w:t>股</w:t>
      </w:r>
      <w:r w:rsidRPr="001C1E22">
        <w:rPr>
          <w:rFonts w:ascii="宋体" w:hAnsi="宋体" w:hint="eastAsia"/>
          <w:szCs w:val="21"/>
        </w:rPr>
        <w:t>）</w:t>
      </w:r>
    </w:p>
    <w:p w:rsidR="00957DEF" w:rsidRDefault="00957DEF" w:rsidP="004E1080">
      <w:pPr>
        <w:spacing w:beforeLines="50"/>
        <w:ind w:leftChars="340" w:left="1846" w:hangingChars="539" w:hanging="1132"/>
        <w:rPr>
          <w:rFonts w:ascii="宋体" w:hAnsi="宋体"/>
          <w:szCs w:val="21"/>
        </w:rPr>
      </w:pPr>
      <w:r w:rsidRPr="001C1E22">
        <w:rPr>
          <w:rFonts w:ascii="宋体" w:hAnsi="宋体" w:hint="eastAsia"/>
          <w:szCs w:val="21"/>
        </w:rPr>
        <w:t>行业覆盖率=半年内有报告的行业数量/行业总数（4级行业</w:t>
      </w:r>
      <w:r>
        <w:rPr>
          <w:rFonts w:ascii="宋体" w:hAnsi="宋体" w:hint="eastAsia"/>
          <w:szCs w:val="21"/>
        </w:rPr>
        <w:t>、</w:t>
      </w:r>
      <w:r w:rsidRPr="002573EA">
        <w:rPr>
          <w:rFonts w:ascii="宋体" w:hAnsi="宋体" w:hint="eastAsia"/>
        </w:rPr>
        <w:t>只统计</w:t>
      </w:r>
      <w:r w:rsidRPr="002573EA">
        <w:rPr>
          <w:rFonts w:ascii="宋体" w:hAnsi="宋体"/>
        </w:rPr>
        <w:t>A</w:t>
      </w:r>
      <w:r w:rsidRPr="002573EA">
        <w:rPr>
          <w:rFonts w:ascii="宋体" w:hAnsi="宋体" w:hint="eastAsia"/>
        </w:rPr>
        <w:t>股</w:t>
      </w:r>
      <w:r w:rsidRPr="001C1E22">
        <w:rPr>
          <w:rFonts w:ascii="宋体" w:hAnsi="宋体" w:hint="eastAsia"/>
          <w:szCs w:val="21"/>
        </w:rPr>
        <w:t>）</w:t>
      </w:r>
    </w:p>
    <w:p w:rsidR="00957DEF" w:rsidRPr="001C1E22" w:rsidRDefault="00957DEF" w:rsidP="004E1080">
      <w:pPr>
        <w:spacing w:beforeLines="50"/>
        <w:ind w:leftChars="340" w:left="1846" w:hangingChars="539" w:hanging="1132"/>
        <w:rPr>
          <w:rFonts w:ascii="宋体" w:hAnsi="宋体"/>
          <w:szCs w:val="21"/>
        </w:rPr>
      </w:pPr>
      <w:r w:rsidRPr="001C1E22">
        <w:rPr>
          <w:rFonts w:ascii="宋体" w:hAnsi="宋体" w:hint="eastAsia"/>
          <w:szCs w:val="21"/>
        </w:rPr>
        <w:t>佣金占有率（20％权重）</w:t>
      </w:r>
    </w:p>
    <w:p w:rsidR="00957DEF" w:rsidRPr="00362602" w:rsidRDefault="00957DEF" w:rsidP="004E1080">
      <w:pPr>
        <w:spacing w:beforeLines="100"/>
        <w:ind w:firstLineChars="200" w:firstLine="420"/>
        <w:jc w:val="left"/>
        <w:rPr>
          <w:rFonts w:ascii="宋体" w:hAnsi="宋体"/>
          <w:szCs w:val="21"/>
        </w:rPr>
      </w:pPr>
      <w:r w:rsidRPr="001C1E22">
        <w:rPr>
          <w:rFonts w:ascii="宋体" w:hAnsi="宋体" w:hint="eastAsia"/>
          <w:szCs w:val="21"/>
        </w:rPr>
        <w:t>所有指标按单个券商进行统计，每个指标最后均进行百分制打分，所有指标得分加权汇总则为券商研究机构的综合得分。</w:t>
      </w:r>
    </w:p>
    <w:p w:rsidR="00957DEF" w:rsidRDefault="00957DEF" w:rsidP="00957DEF"/>
    <w:p w:rsidR="00362602" w:rsidRDefault="00362602" w:rsidP="00957DEF"/>
    <w:p w:rsidR="00362602" w:rsidRDefault="00362602" w:rsidP="00362602">
      <w:pPr>
        <w:spacing w:line="500" w:lineRule="exact"/>
        <w:jc w:val="left"/>
        <w:rPr>
          <w:b/>
          <w:sz w:val="28"/>
          <w:szCs w:val="28"/>
        </w:rPr>
      </w:pPr>
    </w:p>
    <w:p w:rsidR="00362602" w:rsidRDefault="00362602" w:rsidP="00362602">
      <w:pPr>
        <w:spacing w:line="500" w:lineRule="exact"/>
        <w:jc w:val="left"/>
        <w:rPr>
          <w:b/>
          <w:sz w:val="28"/>
          <w:szCs w:val="28"/>
        </w:rPr>
      </w:pPr>
      <w:r>
        <w:rPr>
          <w:rFonts w:hint="eastAsia"/>
          <w:b/>
          <w:sz w:val="28"/>
          <w:szCs w:val="28"/>
        </w:rPr>
        <w:t>用数据说话！</w:t>
      </w:r>
    </w:p>
    <w:p w:rsidR="00362602" w:rsidRDefault="00362602" w:rsidP="00362602">
      <w:pPr>
        <w:spacing w:line="500" w:lineRule="exact"/>
        <w:jc w:val="left"/>
        <w:rPr>
          <w:b/>
          <w:sz w:val="28"/>
          <w:szCs w:val="28"/>
        </w:rPr>
      </w:pPr>
      <w:r w:rsidRPr="00362602">
        <w:rPr>
          <w:rFonts w:hint="eastAsia"/>
          <w:b/>
          <w:sz w:val="28"/>
          <w:szCs w:val="28"/>
        </w:rPr>
        <w:t>天</w:t>
      </w:r>
      <w:proofErr w:type="gramStart"/>
      <w:r w:rsidRPr="00362602">
        <w:rPr>
          <w:rFonts w:hint="eastAsia"/>
          <w:b/>
          <w:sz w:val="28"/>
          <w:szCs w:val="28"/>
        </w:rPr>
        <w:t>眼分析</w:t>
      </w:r>
      <w:proofErr w:type="gramEnd"/>
      <w:r w:rsidRPr="00362602">
        <w:rPr>
          <w:rFonts w:hint="eastAsia"/>
          <w:b/>
          <w:sz w:val="28"/>
          <w:szCs w:val="28"/>
        </w:rPr>
        <w:t>师评选，打造中国</w:t>
      </w:r>
      <w:proofErr w:type="gramStart"/>
      <w:r w:rsidRPr="00362602">
        <w:rPr>
          <w:rFonts w:hint="eastAsia"/>
          <w:b/>
          <w:sz w:val="28"/>
          <w:szCs w:val="28"/>
        </w:rPr>
        <w:t>最具公信</w:t>
      </w:r>
      <w:proofErr w:type="gramEnd"/>
      <w:r w:rsidRPr="00362602">
        <w:rPr>
          <w:rFonts w:hint="eastAsia"/>
          <w:b/>
          <w:sz w:val="28"/>
          <w:szCs w:val="28"/>
        </w:rPr>
        <w:t>力的分析师评选</w:t>
      </w:r>
      <w:r>
        <w:rPr>
          <w:rFonts w:hint="eastAsia"/>
          <w:b/>
          <w:sz w:val="28"/>
          <w:szCs w:val="28"/>
        </w:rPr>
        <w:t>！</w:t>
      </w:r>
    </w:p>
    <w:p w:rsidR="00362602" w:rsidRPr="00362602" w:rsidRDefault="00362602" w:rsidP="00362602">
      <w:pPr>
        <w:spacing w:line="500" w:lineRule="exact"/>
        <w:jc w:val="left"/>
        <w:rPr>
          <w:b/>
          <w:sz w:val="28"/>
          <w:szCs w:val="28"/>
        </w:rPr>
      </w:pPr>
    </w:p>
    <w:p w:rsidR="00362602" w:rsidRPr="00362602" w:rsidRDefault="00362602" w:rsidP="00362602">
      <w:pPr>
        <w:spacing w:line="400" w:lineRule="exact"/>
        <w:rPr>
          <w:rFonts w:ascii="宋体" w:hAnsi="宋体"/>
          <w:b/>
          <w:color w:val="595959" w:themeColor="text1" w:themeTint="A6"/>
          <w:szCs w:val="21"/>
        </w:rPr>
      </w:pPr>
      <w:r w:rsidRPr="00362602">
        <w:rPr>
          <w:rFonts w:ascii="宋体" w:hAnsi="宋体" w:hint="eastAsia"/>
          <w:b/>
          <w:color w:val="595959" w:themeColor="text1" w:themeTint="A6"/>
          <w:szCs w:val="21"/>
        </w:rPr>
        <w:t>今日投资简介：</w:t>
      </w:r>
    </w:p>
    <w:p w:rsidR="00362602" w:rsidRDefault="00362602" w:rsidP="00362602">
      <w:pPr>
        <w:spacing w:line="400" w:lineRule="exact"/>
        <w:ind w:firstLineChars="200" w:firstLine="420"/>
        <w:rPr>
          <w:rFonts w:ascii="宋体" w:hAnsi="宋体"/>
          <w:color w:val="595959" w:themeColor="text1" w:themeTint="A6"/>
          <w:szCs w:val="21"/>
        </w:rPr>
      </w:pPr>
      <w:r w:rsidRPr="00362602">
        <w:rPr>
          <w:rFonts w:ascii="宋体" w:hAnsi="宋体" w:hint="eastAsia"/>
          <w:color w:val="595959" w:themeColor="text1" w:themeTint="A6"/>
          <w:szCs w:val="21"/>
        </w:rPr>
        <w:t>今日投资是一家专业的金融信息服务商, 建立了中国最早的研究报告平台、盈利预测数据库和分析</w:t>
      </w:r>
      <w:proofErr w:type="gramStart"/>
      <w:r w:rsidRPr="00362602">
        <w:rPr>
          <w:rFonts w:ascii="宋体" w:hAnsi="宋体" w:hint="eastAsia"/>
          <w:color w:val="595959" w:themeColor="text1" w:themeTint="A6"/>
          <w:szCs w:val="21"/>
        </w:rPr>
        <w:t>师客观</w:t>
      </w:r>
      <w:proofErr w:type="gramEnd"/>
      <w:r w:rsidRPr="00362602">
        <w:rPr>
          <w:rFonts w:ascii="宋体" w:hAnsi="宋体" w:hint="eastAsia"/>
          <w:color w:val="595959" w:themeColor="text1" w:themeTint="A6"/>
          <w:szCs w:val="21"/>
        </w:rPr>
        <w:t>评价体系 。我们的客户包括黑石（原贝莱德）、富国基金、嘉实基金、国信证券、银河证券、招商银行等一大批国内外金融机构。2004年今日投资首度将分析</w:t>
      </w:r>
      <w:proofErr w:type="gramStart"/>
      <w:r w:rsidRPr="00362602">
        <w:rPr>
          <w:rFonts w:ascii="宋体" w:hAnsi="宋体" w:hint="eastAsia"/>
          <w:color w:val="595959" w:themeColor="text1" w:themeTint="A6"/>
          <w:szCs w:val="21"/>
        </w:rPr>
        <w:t>师客观</w:t>
      </w:r>
      <w:proofErr w:type="gramEnd"/>
      <w:r w:rsidRPr="00362602">
        <w:rPr>
          <w:rFonts w:ascii="宋体" w:hAnsi="宋体" w:hint="eastAsia"/>
          <w:color w:val="595959" w:themeColor="text1" w:themeTint="A6"/>
          <w:szCs w:val="21"/>
        </w:rPr>
        <w:t>评选方式引入国内，通过计算机自动跟踪分析师盈利预测、投资评级数据的准确性、投资回报率，结合预测时间点、各数据的权重综合计算而来。</w:t>
      </w:r>
      <w:r w:rsidR="00205191">
        <w:rPr>
          <w:rFonts w:ascii="宋体" w:hAnsi="宋体" w:hint="eastAsia"/>
          <w:color w:val="595959" w:themeColor="text1" w:themeTint="A6"/>
          <w:szCs w:val="21"/>
        </w:rPr>
        <w:t>十</w:t>
      </w:r>
      <w:r w:rsidRPr="00362602">
        <w:rPr>
          <w:rFonts w:ascii="宋体" w:hAnsi="宋体" w:hint="eastAsia"/>
          <w:color w:val="595959" w:themeColor="text1" w:themeTint="A6"/>
          <w:szCs w:val="21"/>
        </w:rPr>
        <w:t>年来一贯坚持客观、公正的评选方式，推动中国证券市场更理性、健康的发展。</w:t>
      </w:r>
    </w:p>
    <w:p w:rsidR="00362602" w:rsidRPr="00205191" w:rsidRDefault="00362602" w:rsidP="00362602">
      <w:pPr>
        <w:spacing w:line="400" w:lineRule="exact"/>
        <w:rPr>
          <w:rFonts w:ascii="宋体" w:hAnsi="宋体"/>
          <w:color w:val="595959" w:themeColor="text1" w:themeTint="A6"/>
          <w:szCs w:val="21"/>
        </w:rPr>
      </w:pPr>
    </w:p>
    <w:p w:rsidR="007E1D85" w:rsidRPr="007E1D85" w:rsidRDefault="00362602" w:rsidP="00362602">
      <w:pPr>
        <w:spacing w:line="400" w:lineRule="exact"/>
        <w:rPr>
          <w:rFonts w:ascii="宋体" w:hAnsi="宋体"/>
          <w:color w:val="595959" w:themeColor="text1" w:themeTint="A6"/>
          <w:szCs w:val="21"/>
        </w:rPr>
      </w:pPr>
      <w:r>
        <w:rPr>
          <w:rFonts w:ascii="宋体" w:hAnsi="宋体" w:hint="eastAsia"/>
          <w:color w:val="595959" w:themeColor="text1" w:themeTint="A6"/>
          <w:szCs w:val="21"/>
        </w:rPr>
        <w:t>联系电话：祝捷0755-</w:t>
      </w:r>
      <w:r w:rsidR="007E1D85">
        <w:rPr>
          <w:rFonts w:ascii="宋体" w:hAnsi="宋体" w:hint="eastAsia"/>
          <w:color w:val="595959" w:themeColor="text1" w:themeTint="A6"/>
          <w:szCs w:val="21"/>
        </w:rPr>
        <w:t>83521126、13699783156   高淑曼18607555208</w:t>
      </w:r>
    </w:p>
    <w:sectPr w:rsidR="007E1D85" w:rsidRPr="007E1D85" w:rsidSect="00E9673E">
      <w:head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C26" w:rsidRDefault="00125C26" w:rsidP="00957DEF">
      <w:r>
        <w:separator/>
      </w:r>
    </w:p>
  </w:endnote>
  <w:endnote w:type="continuationSeparator" w:id="0">
    <w:p w:rsidR="00125C26" w:rsidRDefault="00125C26" w:rsidP="00957D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C26" w:rsidRDefault="00125C26" w:rsidP="00957DEF">
      <w:r>
        <w:separator/>
      </w:r>
    </w:p>
  </w:footnote>
  <w:footnote w:type="continuationSeparator" w:id="0">
    <w:p w:rsidR="00125C26" w:rsidRDefault="00125C26" w:rsidP="00957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FF" w:rsidRDefault="00042AFF" w:rsidP="00042AFF">
    <w:pPr>
      <w:pStyle w:val="a3"/>
      <w:jc w:val="both"/>
    </w:pPr>
    <w:r>
      <w:rPr>
        <w:noProof/>
      </w:rPr>
      <w:drawing>
        <wp:inline distT="0" distB="0" distL="0" distR="0">
          <wp:extent cx="3001263" cy="324000"/>
          <wp:effectExtent l="19050" t="0" r="8637" b="0"/>
          <wp:docPr id="5" name="图片 4"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jpg"/>
                  <pic:cNvPicPr/>
                </pic:nvPicPr>
                <pic:blipFill>
                  <a:blip r:embed="rId1"/>
                  <a:stretch>
                    <a:fillRect/>
                  </a:stretch>
                </pic:blipFill>
                <pic:spPr>
                  <a:xfrm>
                    <a:off x="0" y="0"/>
                    <a:ext cx="3001263" cy="324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7CE"/>
    <w:multiLevelType w:val="hybridMultilevel"/>
    <w:tmpl w:val="42D8BE2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73365AA"/>
    <w:multiLevelType w:val="hybridMultilevel"/>
    <w:tmpl w:val="86C82FCA"/>
    <w:lvl w:ilvl="0" w:tplc="82544E4E">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48330C"/>
    <w:multiLevelType w:val="hybridMultilevel"/>
    <w:tmpl w:val="358C9638"/>
    <w:lvl w:ilvl="0" w:tplc="6D109DA2">
      <w:start w:val="1"/>
      <w:numFmt w:val="decimal"/>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8A1"/>
    <w:rsid w:val="00042AFF"/>
    <w:rsid w:val="00125C26"/>
    <w:rsid w:val="00157A94"/>
    <w:rsid w:val="00176B70"/>
    <w:rsid w:val="00205191"/>
    <w:rsid w:val="003438A1"/>
    <w:rsid w:val="00362602"/>
    <w:rsid w:val="004E1080"/>
    <w:rsid w:val="007659A5"/>
    <w:rsid w:val="007E1D85"/>
    <w:rsid w:val="00860A33"/>
    <w:rsid w:val="00957DEF"/>
    <w:rsid w:val="009B3D5B"/>
    <w:rsid w:val="00A93040"/>
    <w:rsid w:val="00AE07A1"/>
    <w:rsid w:val="00B94C06"/>
    <w:rsid w:val="00D46776"/>
    <w:rsid w:val="00E9673E"/>
    <w:rsid w:val="00F74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A1"/>
    <w:pPr>
      <w:widowControl w:val="0"/>
      <w:jc w:val="both"/>
    </w:pPr>
    <w:rPr>
      <w:rFonts w:ascii="Times New Roman" w:eastAsia="宋体" w:hAnsi="Times New Roman" w:cs="Times New Roman"/>
      <w:szCs w:val="24"/>
    </w:rPr>
  </w:style>
  <w:style w:type="paragraph" w:styleId="2">
    <w:name w:val="heading 2"/>
    <w:basedOn w:val="a"/>
    <w:next w:val="a"/>
    <w:link w:val="2Char"/>
    <w:qFormat/>
    <w:rsid w:val="003438A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438A1"/>
    <w:rPr>
      <w:rFonts w:ascii="Arial" w:eastAsia="黑体" w:hAnsi="Arial" w:cs="Times New Roman"/>
      <w:b/>
      <w:bCs/>
      <w:sz w:val="32"/>
      <w:szCs w:val="32"/>
    </w:rPr>
  </w:style>
  <w:style w:type="paragraph" w:customStyle="1" w:styleId="1">
    <w:name w:val="列出段落1"/>
    <w:basedOn w:val="a"/>
    <w:rsid w:val="003438A1"/>
    <w:pPr>
      <w:ind w:firstLineChars="200" w:firstLine="420"/>
    </w:pPr>
    <w:rPr>
      <w:rFonts w:ascii="Calibri" w:hAnsi="Calibri"/>
      <w:szCs w:val="22"/>
    </w:rPr>
  </w:style>
  <w:style w:type="paragraph" w:styleId="a3">
    <w:name w:val="header"/>
    <w:basedOn w:val="a"/>
    <w:link w:val="Char"/>
    <w:uiPriority w:val="99"/>
    <w:unhideWhenUsed/>
    <w:rsid w:val="00957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7DEF"/>
    <w:rPr>
      <w:rFonts w:ascii="Times New Roman" w:eastAsia="宋体" w:hAnsi="Times New Roman" w:cs="Times New Roman"/>
      <w:sz w:val="18"/>
      <w:szCs w:val="18"/>
    </w:rPr>
  </w:style>
  <w:style w:type="paragraph" w:styleId="a4">
    <w:name w:val="footer"/>
    <w:basedOn w:val="a"/>
    <w:link w:val="Char0"/>
    <w:uiPriority w:val="99"/>
    <w:semiHidden/>
    <w:unhideWhenUsed/>
    <w:rsid w:val="00957D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7DEF"/>
    <w:rPr>
      <w:rFonts w:ascii="Times New Roman" w:eastAsia="宋体" w:hAnsi="Times New Roman" w:cs="Times New Roman"/>
      <w:sz w:val="18"/>
      <w:szCs w:val="18"/>
    </w:rPr>
  </w:style>
  <w:style w:type="paragraph" w:styleId="a5">
    <w:name w:val="Balloon Text"/>
    <w:basedOn w:val="a"/>
    <w:link w:val="Char1"/>
    <w:uiPriority w:val="99"/>
    <w:semiHidden/>
    <w:unhideWhenUsed/>
    <w:rsid w:val="00957DEF"/>
    <w:rPr>
      <w:sz w:val="18"/>
      <w:szCs w:val="18"/>
    </w:rPr>
  </w:style>
  <w:style w:type="character" w:customStyle="1" w:styleId="Char1">
    <w:name w:val="批注框文本 Char"/>
    <w:basedOn w:val="a0"/>
    <w:link w:val="a5"/>
    <w:uiPriority w:val="99"/>
    <w:semiHidden/>
    <w:rsid w:val="00957DE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1D88B-1F16-421F-9FAD-640C6930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636</Words>
  <Characters>3629</Characters>
  <Application>Microsoft Office Word</Application>
  <DocSecurity>0</DocSecurity>
  <Lines>30</Lines>
  <Paragraphs>8</Paragraphs>
  <ScaleCrop>false</ScaleCrop>
  <Company>Lenovo</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2014-06-27T02:53:00Z</dcterms:created>
  <dcterms:modified xsi:type="dcterms:W3CDTF">2014-06-27T06:08:00Z</dcterms:modified>
</cp:coreProperties>
</file>